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61B2" w14:textId="38234B62" w:rsidR="00AD72B3" w:rsidRDefault="00411275" w:rsidP="00AD72B3">
      <w:r>
        <w:rPr>
          <w:noProof/>
        </w:rPr>
        <mc:AlternateContent>
          <mc:Choice Requires="wps">
            <w:drawing>
              <wp:anchor distT="0" distB="0" distL="114300" distR="114300" simplePos="0" relativeHeight="251657216" behindDoc="0" locked="0" layoutInCell="1" allowOverlap="1" wp14:anchorId="1F1A35B0" wp14:editId="4ACDED3D">
                <wp:simplePos x="0" y="0"/>
                <wp:positionH relativeFrom="column">
                  <wp:posOffset>-212652</wp:posOffset>
                </wp:positionH>
                <wp:positionV relativeFrom="paragraph">
                  <wp:posOffset>-265814</wp:posOffset>
                </wp:positionV>
                <wp:extent cx="6570921" cy="1616075"/>
                <wp:effectExtent l="0" t="0" r="20955" b="22225"/>
                <wp:wrapNone/>
                <wp:docPr id="10" name="Rectangle 10"/>
                <wp:cNvGraphicFramePr/>
                <a:graphic xmlns:a="http://schemas.openxmlformats.org/drawingml/2006/main">
                  <a:graphicData uri="http://schemas.microsoft.com/office/word/2010/wordprocessingShape">
                    <wps:wsp>
                      <wps:cNvSpPr/>
                      <wps:spPr>
                        <a:xfrm>
                          <a:off x="0" y="0"/>
                          <a:ext cx="6570921" cy="1616075"/>
                        </a:xfrm>
                        <a:prstGeom prst="rect">
                          <a:avLst/>
                        </a:prstGeom>
                        <a:solidFill>
                          <a:srgbClr val="01216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D7418" id="Rectangle 10" o:spid="_x0000_s1026" style="position:absolute;margin-left:-16.75pt;margin-top:-20.95pt;width:517.4pt;height:1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" fillcolor="#012169" strokecolor="#001034 [1604]" strokeweight="1pt"/>
            </w:pict>
          </mc:Fallback>
        </mc:AlternateContent>
      </w:r>
      <w:r>
        <w:rPr>
          <w:noProof/>
        </w:rPr>
        <mc:AlternateContent>
          <mc:Choice Requires="wps">
            <w:drawing>
              <wp:anchor distT="45720" distB="45720" distL="114300" distR="114300" simplePos="0" relativeHeight="251660288" behindDoc="0" locked="0" layoutInCell="1" allowOverlap="1" wp14:anchorId="1581B06C" wp14:editId="5CD2584F">
                <wp:simplePos x="0" y="0"/>
                <wp:positionH relativeFrom="margin">
                  <wp:posOffset>1637030</wp:posOffset>
                </wp:positionH>
                <wp:positionV relativeFrom="paragraph">
                  <wp:posOffset>0</wp:posOffset>
                </wp:positionV>
                <wp:extent cx="4613910" cy="1190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1190625"/>
                        </a:xfrm>
                        <a:prstGeom prst="rect">
                          <a:avLst/>
                        </a:prstGeom>
                        <a:noFill/>
                        <a:ln w="9525">
                          <a:noFill/>
                          <a:miter lim="800000"/>
                          <a:headEnd/>
                          <a:tailEnd/>
                        </a:ln>
                      </wps:spPr>
                      <wps:txbx>
                        <w:txbxContent>
                          <w:p w14:paraId="664CDDD4" w14:textId="7A8DB749" w:rsidR="008F51F6" w:rsidRDefault="00411275" w:rsidP="008F51F6">
                            <w:pPr>
                              <w:pStyle w:val="Title"/>
                              <w:rPr>
                                <w:rFonts w:ascii="Arial Black" w:hAnsi="Arial Black"/>
                              </w:rPr>
                            </w:pPr>
                            <w:r>
                              <w:rPr>
                                <w:rFonts w:ascii="Arial Black" w:hAnsi="Arial Black"/>
                              </w:rPr>
                              <w:t>MCH Services contract Glossary</w:t>
                            </w:r>
                          </w:p>
                          <w:p w14:paraId="67C7366E" w14:textId="77777777" w:rsidR="00411275" w:rsidRPr="00411275" w:rsidRDefault="00411275" w:rsidP="00411275"/>
                          <w:p w14:paraId="1F280424" w14:textId="1FF9D596" w:rsidR="00411275" w:rsidRPr="00411275" w:rsidRDefault="00411275" w:rsidP="00411275">
                            <w:pPr>
                              <w:rPr>
                                <w:color w:val="FFFFFF" w:themeColor="background1"/>
                                <w:sz w:val="22"/>
                                <w:szCs w:val="24"/>
                              </w:rPr>
                            </w:pPr>
                            <w:r w:rsidRPr="00411275">
                              <w:rPr>
                                <w:color w:val="FFFFFF" w:themeColor="background1"/>
                                <w:sz w:val="22"/>
                                <w:szCs w:val="24"/>
                              </w:rPr>
                              <w:t>Contract Period FFY202</w:t>
                            </w:r>
                            <w:r w:rsidR="00591BAF">
                              <w:rPr>
                                <w:color w:val="FFFFFF" w:themeColor="background1"/>
                                <w:sz w:val="22"/>
                                <w:szCs w:val="24"/>
                              </w:rPr>
                              <w:t>6</w:t>
                            </w:r>
                            <w:r w:rsidRPr="00411275">
                              <w:rPr>
                                <w:color w:val="FFFFFF" w:themeColor="background1"/>
                                <w:sz w:val="22"/>
                                <w:szCs w:val="24"/>
                              </w:rPr>
                              <w:t xml:space="preserve"> (October 1, 202</w:t>
                            </w:r>
                            <w:r w:rsidR="00591BAF">
                              <w:rPr>
                                <w:color w:val="FFFFFF" w:themeColor="background1"/>
                                <w:sz w:val="22"/>
                                <w:szCs w:val="24"/>
                              </w:rPr>
                              <w:t>5</w:t>
                            </w:r>
                            <w:r w:rsidRPr="00411275">
                              <w:rPr>
                                <w:color w:val="FFFFFF" w:themeColor="background1"/>
                                <w:sz w:val="22"/>
                                <w:szCs w:val="24"/>
                              </w:rPr>
                              <w:t>-September 30, 202</w:t>
                            </w:r>
                            <w:r w:rsidR="00591BAF">
                              <w:rPr>
                                <w:color w:val="FFFFFF" w:themeColor="background1"/>
                                <w:sz w:val="22"/>
                                <w:szCs w:val="24"/>
                              </w:rPr>
                              <w:t>6</w:t>
                            </w:r>
                            <w:r w:rsidRPr="00411275">
                              <w:rPr>
                                <w:color w:val="FFFFFF" w:themeColor="background1"/>
                                <w:sz w:val="22"/>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1B06C" id="_x0000_t202" coordsize="21600,21600" o:spt="202" path="m,l,21600r21600,l21600,xe">
                <v:stroke joinstyle="miter"/>
                <v:path gradientshapeok="t" o:connecttype="rect"/>
              </v:shapetype>
              <v:shape id="Text Box 2" o:spid="_x0000_s1026" type="#_x0000_t202" style="position:absolute;margin-left:128.9pt;margin-top:0;width:363.3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" filled="f" stroked="f">
                <v:textbox>
                  <w:txbxContent>
                    <w:p w14:paraId="664CDDD4" w14:textId="7A8DB749" w:rsidR="008F51F6" w:rsidRDefault="00411275" w:rsidP="008F51F6">
                      <w:pPr>
                        <w:pStyle w:val="Title"/>
                        <w:rPr>
                          <w:rFonts w:ascii="Arial Black" w:hAnsi="Arial Black"/>
                        </w:rPr>
                      </w:pPr>
                      <w:r>
                        <w:rPr>
                          <w:rFonts w:ascii="Arial Black" w:hAnsi="Arial Black"/>
                        </w:rPr>
                        <w:t>MCH Services contract Glossary</w:t>
                      </w:r>
                    </w:p>
                    <w:p w14:paraId="67C7366E" w14:textId="77777777" w:rsidR="00411275" w:rsidRPr="00411275" w:rsidRDefault="00411275" w:rsidP="00411275"/>
                    <w:p w14:paraId="1F280424" w14:textId="1FF9D596" w:rsidR="00411275" w:rsidRPr="00411275" w:rsidRDefault="00411275" w:rsidP="00411275">
                      <w:pPr>
                        <w:rPr>
                          <w:color w:val="FFFFFF" w:themeColor="background1"/>
                          <w:sz w:val="22"/>
                          <w:szCs w:val="24"/>
                        </w:rPr>
                      </w:pPr>
                      <w:r w:rsidRPr="00411275">
                        <w:rPr>
                          <w:color w:val="FFFFFF" w:themeColor="background1"/>
                          <w:sz w:val="22"/>
                          <w:szCs w:val="24"/>
                        </w:rPr>
                        <w:t>Contract Period FFY202</w:t>
                      </w:r>
                      <w:r w:rsidR="00591BAF">
                        <w:rPr>
                          <w:color w:val="FFFFFF" w:themeColor="background1"/>
                          <w:sz w:val="22"/>
                          <w:szCs w:val="24"/>
                        </w:rPr>
                        <w:t>6</w:t>
                      </w:r>
                      <w:r w:rsidRPr="00411275">
                        <w:rPr>
                          <w:color w:val="FFFFFF" w:themeColor="background1"/>
                          <w:sz w:val="22"/>
                          <w:szCs w:val="24"/>
                        </w:rPr>
                        <w:t xml:space="preserve"> (October 1, 202</w:t>
                      </w:r>
                      <w:r w:rsidR="00591BAF">
                        <w:rPr>
                          <w:color w:val="FFFFFF" w:themeColor="background1"/>
                          <w:sz w:val="22"/>
                          <w:szCs w:val="24"/>
                        </w:rPr>
                        <w:t>5</w:t>
                      </w:r>
                      <w:r w:rsidRPr="00411275">
                        <w:rPr>
                          <w:color w:val="FFFFFF" w:themeColor="background1"/>
                          <w:sz w:val="22"/>
                          <w:szCs w:val="24"/>
                        </w:rPr>
                        <w:t>-September 30, 202</w:t>
                      </w:r>
                      <w:r w:rsidR="00591BAF">
                        <w:rPr>
                          <w:color w:val="FFFFFF" w:themeColor="background1"/>
                          <w:sz w:val="22"/>
                          <w:szCs w:val="24"/>
                        </w:rPr>
                        <w:t>6</w:t>
                      </w:r>
                      <w:r w:rsidRPr="00411275">
                        <w:rPr>
                          <w:color w:val="FFFFFF" w:themeColor="background1"/>
                          <w:sz w:val="22"/>
                          <w:szCs w:val="24"/>
                        </w:rPr>
                        <w:t>)</w:t>
                      </w:r>
                    </w:p>
                  </w:txbxContent>
                </v:textbox>
                <w10:wrap type="square" anchorx="margin"/>
              </v:shape>
            </w:pict>
          </mc:Fallback>
        </mc:AlternateContent>
      </w:r>
      <w:r w:rsidR="00821D53">
        <w:rPr>
          <w:noProof/>
        </w:rPr>
        <w:drawing>
          <wp:anchor distT="0" distB="0" distL="114300" distR="114300" simplePos="0" relativeHeight="251658240" behindDoc="0" locked="0" layoutInCell="1" allowOverlap="1" wp14:anchorId="632D6C23" wp14:editId="7B5E36CA">
            <wp:simplePos x="0" y="0"/>
            <wp:positionH relativeFrom="margin">
              <wp:posOffset>0</wp:posOffset>
            </wp:positionH>
            <wp:positionV relativeFrom="paragraph">
              <wp:posOffset>-213170</wp:posOffset>
            </wp:positionV>
            <wp:extent cx="1644812" cy="1644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4812" cy="1644025"/>
                    </a:xfrm>
                    <a:prstGeom prst="rect">
                      <a:avLst/>
                    </a:prstGeom>
                  </pic:spPr>
                </pic:pic>
              </a:graphicData>
            </a:graphic>
            <wp14:sizeRelH relativeFrom="margin">
              <wp14:pctWidth>0</wp14:pctWidth>
            </wp14:sizeRelH>
            <wp14:sizeRelV relativeFrom="margin">
              <wp14:pctHeight>0</wp14:pctHeight>
            </wp14:sizeRelV>
          </wp:anchor>
        </w:drawing>
      </w:r>
    </w:p>
    <w:p w14:paraId="4C14D08A" w14:textId="77777777" w:rsidR="00AD72B3" w:rsidRDefault="00AD72B3" w:rsidP="00AD72B3"/>
    <w:p w14:paraId="55912708" w14:textId="77777777" w:rsidR="00AD72B3" w:rsidRDefault="00AD72B3" w:rsidP="00AD72B3"/>
    <w:p w14:paraId="3C934323" w14:textId="77777777" w:rsidR="00AD72B3" w:rsidRDefault="00AD72B3" w:rsidP="00AD72B3"/>
    <w:p w14:paraId="78835866" w14:textId="77777777" w:rsidR="00AD72B3" w:rsidRDefault="00AD72B3" w:rsidP="00AD72B3"/>
    <w:p w14:paraId="61E33438" w14:textId="77777777" w:rsidR="00AD72B3" w:rsidRDefault="00AD72B3" w:rsidP="00AD72B3"/>
    <w:p w14:paraId="64572939" w14:textId="77777777" w:rsidR="00AD72B3" w:rsidRDefault="00AD72B3" w:rsidP="00AD72B3"/>
    <w:p w14:paraId="5F413224" w14:textId="77777777" w:rsidR="00953372" w:rsidRDefault="00953372" w:rsidP="006468C4"/>
    <w:p w14:paraId="2EE0484E" w14:textId="77777777" w:rsidR="00411275" w:rsidRDefault="00411275" w:rsidP="006468C4"/>
    <w:p w14:paraId="2F955E3B" w14:textId="77777777" w:rsidR="00411275" w:rsidRDefault="00411275" w:rsidP="006468C4"/>
    <w:p w14:paraId="6F52E571" w14:textId="77777777" w:rsidR="00411275" w:rsidRDefault="00411275" w:rsidP="006468C4"/>
    <w:p w14:paraId="293B40E5" w14:textId="26601A08" w:rsidR="0099538B" w:rsidRPr="00EA2692" w:rsidRDefault="0099538B" w:rsidP="0099538B">
      <w:pPr>
        <w:numPr>
          <w:ilvl w:val="0"/>
          <w:numId w:val="10"/>
        </w:numPr>
        <w:ind w:hanging="720"/>
        <w:contextualSpacing/>
        <w:rPr>
          <w:rFonts w:eastAsia="Times New Roman" w:cstheme="minorHAnsi"/>
          <w:color w:val="auto"/>
          <w:sz w:val="24"/>
          <w:szCs w:val="24"/>
        </w:rPr>
      </w:pPr>
      <w:r w:rsidRPr="00EA2692">
        <w:rPr>
          <w:rFonts w:eastAsia="Times New Roman" w:cstheme="minorHAnsi"/>
          <w:b/>
          <w:bCs/>
          <w:color w:val="auto"/>
          <w:sz w:val="24"/>
          <w:szCs w:val="24"/>
        </w:rPr>
        <w:t xml:space="preserve">Access:  </w:t>
      </w:r>
      <w:r w:rsidRPr="00EA2692">
        <w:rPr>
          <w:rFonts w:eastAsia="Times New Roman" w:cstheme="minorHAnsi"/>
          <w:color w:val="auto"/>
          <w:sz w:val="24"/>
          <w:szCs w:val="24"/>
        </w:rPr>
        <w:t>the ability of individuals and communities to obtain the necessary resources and support to meet their needs.</w:t>
      </w:r>
    </w:p>
    <w:p w14:paraId="75548200" w14:textId="2A52288D" w:rsidR="00EA2692" w:rsidRPr="00EA2692" w:rsidRDefault="00EA2692" w:rsidP="0099538B">
      <w:pPr>
        <w:numPr>
          <w:ilvl w:val="0"/>
          <w:numId w:val="10"/>
        </w:numPr>
        <w:ind w:hanging="720"/>
        <w:contextualSpacing/>
        <w:rPr>
          <w:rFonts w:eastAsia="Times New Roman" w:cstheme="minorHAnsi"/>
          <w:color w:val="auto"/>
          <w:sz w:val="24"/>
          <w:szCs w:val="24"/>
        </w:rPr>
      </w:pPr>
      <w:r w:rsidRPr="00EA2692">
        <w:rPr>
          <w:rFonts w:eastAsia="Times New Roman" w:cstheme="minorHAnsi"/>
          <w:b/>
          <w:bCs/>
          <w:color w:val="auto"/>
          <w:sz w:val="24"/>
          <w:szCs w:val="24"/>
        </w:rPr>
        <w:t>Accountability:</w:t>
      </w:r>
      <w:r w:rsidRPr="00EA2692">
        <w:rPr>
          <w:rFonts w:eastAsia="Times New Roman" w:cstheme="minorHAnsi"/>
          <w:color w:val="auto"/>
          <w:sz w:val="24"/>
          <w:szCs w:val="24"/>
        </w:rPr>
        <w:t xml:space="preserve">  being answerable or responsible for one’s actions and their outcomes.  Involves accepting responsibility for commitments, fulfilling obligations, and being willing to explain or justify one’s actions.</w:t>
      </w:r>
    </w:p>
    <w:p w14:paraId="61F2B74B" w14:textId="74778BCE" w:rsidR="0099538B" w:rsidRPr="00EA2692" w:rsidRDefault="0099538B" w:rsidP="0099538B">
      <w:pPr>
        <w:numPr>
          <w:ilvl w:val="0"/>
          <w:numId w:val="10"/>
        </w:numPr>
        <w:ind w:hanging="720"/>
        <w:contextualSpacing/>
        <w:rPr>
          <w:rFonts w:eastAsia="Times New Roman" w:cstheme="minorHAnsi"/>
          <w:color w:val="auto"/>
          <w:sz w:val="24"/>
          <w:szCs w:val="24"/>
        </w:rPr>
      </w:pPr>
      <w:r w:rsidRPr="00EA2692">
        <w:rPr>
          <w:rFonts w:eastAsia="Times New Roman" w:cstheme="minorHAnsi"/>
          <w:b/>
          <w:color w:val="auto"/>
          <w:sz w:val="24"/>
          <w:szCs w:val="24"/>
        </w:rPr>
        <w:t>Activity:</w:t>
      </w:r>
      <w:r w:rsidRPr="00EA2692">
        <w:rPr>
          <w:rFonts w:eastAsia="Times New Roman" w:cstheme="minorHAnsi"/>
          <w:color w:val="auto"/>
          <w:sz w:val="24"/>
          <w:szCs w:val="24"/>
        </w:rPr>
        <w:t xml:space="preserve">  A task that needs to be accomplished within a defined </w:t>
      </w:r>
      <w:proofErr w:type="gramStart"/>
      <w:r w:rsidRPr="00EA2692">
        <w:rPr>
          <w:rFonts w:eastAsia="Times New Roman" w:cstheme="minorHAnsi"/>
          <w:color w:val="auto"/>
          <w:sz w:val="24"/>
          <w:szCs w:val="24"/>
        </w:rPr>
        <w:t>period of time</w:t>
      </w:r>
      <w:proofErr w:type="gramEnd"/>
      <w:r w:rsidRPr="00EA2692">
        <w:rPr>
          <w:rFonts w:eastAsia="Times New Roman" w:cstheme="minorHAnsi"/>
          <w:color w:val="auto"/>
          <w:sz w:val="24"/>
          <w:szCs w:val="24"/>
        </w:rPr>
        <w:t xml:space="preserve"> or by a deadline.  It can be broken down into assignments with a defined start and end date or a deadline for completion.</w:t>
      </w:r>
    </w:p>
    <w:p w14:paraId="32F9E5E3" w14:textId="0BD7E4F7" w:rsidR="0099538B" w:rsidRPr="00EA2692" w:rsidRDefault="0099538B" w:rsidP="0099538B">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Adolescents:</w:t>
      </w:r>
      <w:r w:rsidRPr="00EA2692">
        <w:rPr>
          <w:rFonts w:eastAsia="Times New Roman" w:cstheme="minorHAnsi"/>
          <w:color w:val="auto"/>
          <w:sz w:val="24"/>
          <w:szCs w:val="24"/>
        </w:rPr>
        <w:t xml:space="preserve">  Ages 13 to 19 years old.</w:t>
      </w:r>
    </w:p>
    <w:p w14:paraId="1EEF52AC" w14:textId="7FD53FB4" w:rsidR="00411275" w:rsidRPr="00EA2692" w:rsidRDefault="00411275" w:rsidP="00411275">
      <w:pPr>
        <w:numPr>
          <w:ilvl w:val="0"/>
          <w:numId w:val="10"/>
        </w:numPr>
        <w:tabs>
          <w:tab w:val="left" w:pos="144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Adverse birth outcomes</w:t>
      </w:r>
      <w:r w:rsidRPr="00EA2692">
        <w:rPr>
          <w:rFonts w:eastAsia="Times New Roman" w:cstheme="minorHAnsi"/>
          <w:b/>
          <w:color w:val="auto"/>
          <w:sz w:val="24"/>
          <w:szCs w:val="24"/>
        </w:rPr>
        <w:t>:</w:t>
      </w:r>
      <w:r w:rsidRPr="00EA2692">
        <w:rPr>
          <w:rFonts w:eastAsia="Times New Roman" w:cstheme="minorHAnsi"/>
          <w:color w:val="auto"/>
          <w:sz w:val="24"/>
          <w:szCs w:val="24"/>
        </w:rPr>
        <w:t xml:space="preserve">  A group of conditions, including but not limited to low birth weight, preterm births and infant mortality, and may be associated with such risk factors as late or no prenatal care, unplanned pregnancy, cigarette smoking, alcohol and other drug use, being HIV positive, inadequate birth spacing, chronic diseases (i.e. diabetes, gum disease, obesity, etc.), maternal age, poor nutrition, and low socioeconomic status.</w:t>
      </w:r>
    </w:p>
    <w:p w14:paraId="17EDBDEE" w14:textId="01F1F8E1" w:rsidR="00CC5ADB" w:rsidRPr="00EA2692" w:rsidRDefault="00CC5ADB"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Adolescents:</w:t>
      </w:r>
      <w:r w:rsidRPr="00EA2692">
        <w:rPr>
          <w:rFonts w:eastAsia="Times New Roman" w:cstheme="minorHAnsi"/>
          <w:color w:val="auto"/>
          <w:sz w:val="24"/>
          <w:szCs w:val="24"/>
        </w:rPr>
        <w:t xml:space="preserve">  Ages 13 to 19 years old.</w:t>
      </w:r>
    </w:p>
    <w:p w14:paraId="5FF7397D" w14:textId="0BBD8514" w:rsidR="00921EC1" w:rsidRPr="00EA2692" w:rsidRDefault="00921EC1"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AMCHP:</w:t>
      </w:r>
      <w:r w:rsidRPr="00EA2692">
        <w:rPr>
          <w:rFonts w:eastAsia="Times New Roman" w:cstheme="minorHAnsi"/>
          <w:color w:val="auto"/>
          <w:sz w:val="24"/>
          <w:szCs w:val="24"/>
        </w:rPr>
        <w:t xml:space="preserve">  The Association of Maternal &amp; Child Health Programs (AMCHP) is a national resource, partner and advocate for state public health leaders who works and support state maternal and child health programs and others working to improve the health of women, children, youth, families, and communities.  </w:t>
      </w:r>
      <w:hyperlink r:id="rId8" w:history="1">
        <w:r w:rsidRPr="00EA2692">
          <w:rPr>
            <w:rStyle w:val="Hyperlink"/>
            <w:rFonts w:eastAsia="Times New Roman" w:cstheme="minorHAnsi"/>
            <w:sz w:val="24"/>
            <w:szCs w:val="24"/>
          </w:rPr>
          <w:t>https://amchp.org</w:t>
        </w:r>
      </w:hyperlink>
      <w:r w:rsidRPr="00EA2692">
        <w:rPr>
          <w:rFonts w:eastAsia="Times New Roman" w:cstheme="minorHAnsi"/>
          <w:color w:val="auto"/>
          <w:sz w:val="24"/>
          <w:szCs w:val="24"/>
        </w:rPr>
        <w:t xml:space="preserve"> </w:t>
      </w:r>
    </w:p>
    <w:p w14:paraId="5958DA96"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Amendment</w:t>
      </w:r>
      <w:r w:rsidRPr="00EA2692">
        <w:rPr>
          <w:rFonts w:eastAsia="Times New Roman" w:cstheme="minorHAnsi"/>
          <w:b/>
          <w:color w:val="auto"/>
          <w:sz w:val="24"/>
          <w:szCs w:val="24"/>
        </w:rPr>
        <w:t>:</w:t>
      </w:r>
      <w:r w:rsidRPr="00EA2692">
        <w:rPr>
          <w:rFonts w:eastAsia="Times New Roman" w:cstheme="minorHAnsi"/>
          <w:color w:val="auto"/>
          <w:sz w:val="24"/>
          <w:szCs w:val="24"/>
        </w:rPr>
        <w:t xml:space="preserve">  A written, official modification to the contract.</w:t>
      </w:r>
    </w:p>
    <w:p w14:paraId="40C68249"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Authorization:</w:t>
      </w:r>
      <w:r w:rsidRPr="00EA2692">
        <w:rPr>
          <w:rFonts w:eastAsia="Times New Roman" w:cstheme="minorHAnsi"/>
          <w:color w:val="auto"/>
          <w:sz w:val="24"/>
          <w:szCs w:val="24"/>
        </w:rPr>
        <w:t xml:space="preserve">  The name of a local public health agency (LPHA) Administrator, Director, or Designee (other duly authorized individuals of the LPHA Contractor).</w:t>
      </w:r>
    </w:p>
    <w:p w14:paraId="1A810389" w14:textId="451FE205"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Best practices:</w:t>
      </w:r>
      <w:r w:rsidRPr="00EA2692">
        <w:rPr>
          <w:rFonts w:eastAsia="Times New Roman" w:cstheme="minorHAnsi"/>
          <w:color w:val="auto"/>
          <w:sz w:val="24"/>
          <w:szCs w:val="24"/>
        </w:rPr>
        <w:t xml:space="preserve">  AMCHP thinks of the term “practice” inclusively to encompass essentially any public health initiative “that’s working” and could be replicated by others. Practices can include, but are not limited to:</w:t>
      </w:r>
    </w:p>
    <w:p w14:paraId="62717084" w14:textId="77777777" w:rsidR="00411275" w:rsidRPr="00EA2692" w:rsidRDefault="00411275" w:rsidP="00411275">
      <w:pPr>
        <w:tabs>
          <w:tab w:val="left" w:pos="720"/>
        </w:tabs>
        <w:spacing w:before="120" w:after="100" w:afterAutospacing="1"/>
        <w:contextualSpacing/>
        <w:rPr>
          <w:rFonts w:eastAsia="Times New Roman" w:cstheme="minorHAnsi"/>
          <w:color w:val="auto"/>
          <w:sz w:val="24"/>
          <w:szCs w:val="24"/>
        </w:rPr>
      </w:pPr>
      <w:r w:rsidRPr="00EA2692">
        <w:rPr>
          <w:rFonts w:eastAsia="Times New Roman" w:cstheme="minorHAnsi"/>
          <w:color w:val="auto"/>
          <w:sz w:val="24"/>
          <w:szCs w:val="24"/>
        </w:rPr>
        <w:tab/>
      </w:r>
      <w:r w:rsidRPr="00EA2692">
        <w:rPr>
          <w:rFonts w:eastAsia="Times New Roman" w:cstheme="minorHAnsi"/>
          <w:color w:val="auto"/>
          <w:sz w:val="24"/>
          <w:szCs w:val="24"/>
        </w:rPr>
        <w:tab/>
        <w:t>-Programmatic initiatives    ​​</w:t>
      </w:r>
    </w:p>
    <w:p w14:paraId="34F65850" w14:textId="77777777" w:rsidR="00411275" w:rsidRPr="00EA2692" w:rsidRDefault="00411275" w:rsidP="00411275">
      <w:pPr>
        <w:tabs>
          <w:tab w:val="left" w:pos="720"/>
        </w:tabs>
        <w:spacing w:before="120" w:after="100" w:afterAutospacing="1"/>
        <w:contextualSpacing/>
        <w:rPr>
          <w:rFonts w:eastAsia="Times New Roman" w:cstheme="minorHAnsi"/>
          <w:color w:val="auto"/>
          <w:sz w:val="24"/>
          <w:szCs w:val="24"/>
        </w:rPr>
      </w:pPr>
      <w:r w:rsidRPr="00EA2692">
        <w:rPr>
          <w:rFonts w:eastAsia="Times New Roman" w:cstheme="minorHAnsi"/>
          <w:color w:val="auto"/>
          <w:sz w:val="24"/>
          <w:szCs w:val="24"/>
        </w:rPr>
        <w:tab/>
      </w:r>
      <w:r w:rsidRPr="00EA2692">
        <w:rPr>
          <w:rFonts w:eastAsia="Times New Roman" w:cstheme="minorHAnsi"/>
          <w:color w:val="auto"/>
          <w:sz w:val="24"/>
          <w:szCs w:val="24"/>
        </w:rPr>
        <w:tab/>
        <w:t>-Collaboratives/coordination structures​​</w:t>
      </w:r>
    </w:p>
    <w:p w14:paraId="69A6BF2A" w14:textId="77777777" w:rsidR="00411275" w:rsidRPr="00EA2692" w:rsidRDefault="00411275" w:rsidP="00411275">
      <w:pPr>
        <w:tabs>
          <w:tab w:val="left" w:pos="720"/>
        </w:tabs>
        <w:spacing w:before="120" w:after="100" w:afterAutospacing="1"/>
        <w:ind w:left="1440"/>
        <w:contextualSpacing/>
        <w:rPr>
          <w:rFonts w:eastAsia="Times New Roman" w:cstheme="minorHAnsi"/>
          <w:color w:val="auto"/>
          <w:sz w:val="24"/>
          <w:szCs w:val="24"/>
        </w:rPr>
      </w:pPr>
      <w:r w:rsidRPr="00EA2692">
        <w:rPr>
          <w:rFonts w:eastAsia="Times New Roman" w:cstheme="minorHAnsi"/>
          <w:color w:val="auto"/>
          <w:sz w:val="24"/>
          <w:szCs w:val="24"/>
        </w:rPr>
        <w:t>-Workforce development strategies ​​and approaches</w:t>
      </w:r>
    </w:p>
    <w:p w14:paraId="3D00A0C0" w14:textId="77777777" w:rsidR="00411275" w:rsidRPr="00EA2692" w:rsidRDefault="00411275" w:rsidP="00411275">
      <w:pPr>
        <w:tabs>
          <w:tab w:val="left" w:pos="720"/>
        </w:tabs>
        <w:spacing w:before="120" w:after="100" w:afterAutospacing="1"/>
        <w:ind w:left="720"/>
        <w:contextualSpacing/>
        <w:rPr>
          <w:rFonts w:eastAsia="Times New Roman" w:cstheme="minorHAnsi"/>
          <w:color w:val="auto"/>
          <w:sz w:val="24"/>
          <w:szCs w:val="24"/>
        </w:rPr>
      </w:pPr>
      <w:r w:rsidRPr="00EA2692">
        <w:rPr>
          <w:rFonts w:eastAsia="Times New Roman" w:cstheme="minorHAnsi"/>
          <w:color w:val="auto"/>
          <w:sz w:val="24"/>
          <w:szCs w:val="24"/>
        </w:rPr>
        <w:tab/>
        <w:t>-Family/community engagement and partnership strategies ​​</w:t>
      </w:r>
    </w:p>
    <w:p w14:paraId="5C23AE34" w14:textId="77777777" w:rsidR="00411275" w:rsidRPr="00EA2692" w:rsidRDefault="00411275" w:rsidP="00411275">
      <w:pPr>
        <w:tabs>
          <w:tab w:val="left" w:pos="720"/>
        </w:tabs>
        <w:spacing w:before="120" w:after="100" w:afterAutospacing="1"/>
        <w:ind w:left="720"/>
        <w:contextualSpacing/>
        <w:rPr>
          <w:rFonts w:eastAsia="Times New Roman" w:cstheme="minorHAnsi"/>
          <w:color w:val="auto"/>
          <w:sz w:val="24"/>
          <w:szCs w:val="24"/>
        </w:rPr>
      </w:pPr>
      <w:r w:rsidRPr="00EA2692">
        <w:rPr>
          <w:rFonts w:eastAsia="Times New Roman" w:cstheme="minorHAnsi"/>
          <w:color w:val="auto"/>
          <w:sz w:val="24"/>
          <w:szCs w:val="24"/>
        </w:rPr>
        <w:tab/>
        <w:t>-Toolkits and curricula</w:t>
      </w:r>
    </w:p>
    <w:p w14:paraId="5FDEF387" w14:textId="77777777" w:rsidR="00411275" w:rsidRPr="00EA2692" w:rsidRDefault="00411275" w:rsidP="00411275">
      <w:pPr>
        <w:tabs>
          <w:tab w:val="left" w:pos="720"/>
        </w:tabs>
        <w:spacing w:before="120" w:after="100" w:afterAutospacing="1"/>
        <w:ind w:left="720"/>
        <w:contextualSpacing/>
        <w:rPr>
          <w:rFonts w:eastAsia="Times New Roman" w:cstheme="minorHAnsi"/>
          <w:color w:val="auto"/>
          <w:sz w:val="24"/>
          <w:szCs w:val="24"/>
        </w:rPr>
      </w:pPr>
      <w:r w:rsidRPr="00EA2692">
        <w:rPr>
          <w:rFonts w:eastAsia="Times New Roman" w:cstheme="minorHAnsi"/>
          <w:color w:val="auto"/>
          <w:sz w:val="24"/>
          <w:szCs w:val="24"/>
        </w:rPr>
        <w:t>Best practices meaningfully engage stakeholders at all practice levels.  Are often disseminated via a journal, toolkit or CoIIN, external evaluation, etc.  Can be replicated with similar results.</w:t>
      </w:r>
    </w:p>
    <w:p w14:paraId="07317ECD" w14:textId="77777777" w:rsidR="00411275" w:rsidRPr="00EA2692" w:rsidRDefault="00411275" w:rsidP="00411275">
      <w:pPr>
        <w:tabs>
          <w:tab w:val="left" w:pos="720"/>
        </w:tabs>
        <w:ind w:left="720"/>
        <w:contextualSpacing/>
        <w:rPr>
          <w:rFonts w:eastAsia="Times New Roman" w:cstheme="minorHAnsi"/>
          <w:i/>
          <w:color w:val="auto"/>
          <w:sz w:val="24"/>
          <w:szCs w:val="24"/>
        </w:rPr>
      </w:pPr>
      <w:r w:rsidRPr="00EA2692">
        <w:rPr>
          <w:rFonts w:eastAsia="Times New Roman" w:cstheme="minorHAnsi"/>
          <w:i/>
          <w:color w:val="auto"/>
          <w:sz w:val="24"/>
          <w:szCs w:val="24"/>
        </w:rPr>
        <w:t xml:space="preserve">Source: </w:t>
      </w:r>
      <w:hyperlink r:id="rId9" w:history="1">
        <w:r w:rsidRPr="00EA2692">
          <w:rPr>
            <w:rFonts w:eastAsia="Times New Roman" w:cstheme="minorHAnsi"/>
            <w:color w:val="auto"/>
            <w:sz w:val="24"/>
            <w:szCs w:val="24"/>
            <w:u w:val="single"/>
          </w:rPr>
          <w:t>Innovation Hub Practices - AMCHP</w:t>
        </w:r>
      </w:hyperlink>
    </w:p>
    <w:p w14:paraId="10DA4283"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lastRenderedPageBreak/>
        <w:t xml:space="preserve">Capital Expenditures:  </w:t>
      </w:r>
      <w:r w:rsidRPr="00EA2692">
        <w:rPr>
          <w:rFonts w:eastAsia="Times New Roman" w:cstheme="minorHAnsi"/>
          <w:color w:val="auto"/>
          <w:sz w:val="24"/>
          <w:szCs w:val="24"/>
        </w:rPr>
        <w:t>Expenditures to acquire capital assets or expenditures to make additions, improvements, modifications, replacements, rearrangements, reinstallations, renovations, or alterations to capital assets that materially increase their value or useful life.</w:t>
      </w:r>
    </w:p>
    <w:p w14:paraId="5E1C9580" w14:textId="727BC301" w:rsidR="00411275" w:rsidRPr="00EA2692" w:rsidRDefault="00411275" w:rsidP="00CC5ADB">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Children:</w:t>
      </w:r>
      <w:r w:rsidRPr="00EA2692">
        <w:rPr>
          <w:rFonts w:eastAsia="Times New Roman" w:cstheme="minorHAnsi"/>
          <w:color w:val="auto"/>
          <w:sz w:val="24"/>
          <w:szCs w:val="24"/>
        </w:rPr>
        <w:t xml:space="preserve">  A</w:t>
      </w:r>
      <w:r w:rsidR="00CC5ADB" w:rsidRPr="00EA2692">
        <w:rPr>
          <w:rFonts w:eastAsia="Times New Roman" w:cstheme="minorHAnsi"/>
          <w:color w:val="auto"/>
          <w:sz w:val="24"/>
          <w:szCs w:val="24"/>
        </w:rPr>
        <w:t>ges 1</w:t>
      </w:r>
      <w:r w:rsidRPr="00EA2692">
        <w:rPr>
          <w:rFonts w:eastAsia="Times New Roman" w:cstheme="minorHAnsi"/>
          <w:color w:val="auto"/>
          <w:sz w:val="24"/>
          <w:szCs w:val="24"/>
        </w:rPr>
        <w:t xml:space="preserve"> through </w:t>
      </w:r>
      <w:r w:rsidR="00CC5ADB" w:rsidRPr="00EA2692">
        <w:rPr>
          <w:rFonts w:eastAsia="Times New Roman" w:cstheme="minorHAnsi"/>
          <w:color w:val="auto"/>
          <w:sz w:val="24"/>
          <w:szCs w:val="24"/>
        </w:rPr>
        <w:t>19</w:t>
      </w:r>
      <w:r w:rsidRPr="00EA2692">
        <w:rPr>
          <w:rFonts w:eastAsia="Times New Roman" w:cstheme="minorHAnsi"/>
          <w:color w:val="auto"/>
          <w:sz w:val="24"/>
          <w:szCs w:val="24"/>
        </w:rPr>
        <w:t xml:space="preserve"> year</w:t>
      </w:r>
      <w:r w:rsidR="00CC5ADB" w:rsidRPr="00EA2692">
        <w:rPr>
          <w:rFonts w:eastAsia="Times New Roman" w:cstheme="minorHAnsi"/>
          <w:color w:val="auto"/>
          <w:sz w:val="24"/>
          <w:szCs w:val="24"/>
        </w:rPr>
        <w:t xml:space="preserve">s old </w:t>
      </w:r>
      <w:r w:rsidRPr="00EA2692">
        <w:rPr>
          <w:rFonts w:eastAsia="Times New Roman" w:cstheme="minorHAnsi"/>
          <w:color w:val="auto"/>
          <w:sz w:val="24"/>
          <w:szCs w:val="24"/>
        </w:rPr>
        <w:t xml:space="preserve">not otherwise included in any other class of individuals. </w:t>
      </w:r>
    </w:p>
    <w:p w14:paraId="0B341797" w14:textId="77777777" w:rsidR="00CC5ADB" w:rsidRPr="00EA2692" w:rsidRDefault="00411275" w:rsidP="00CC5ADB">
      <w:pPr>
        <w:numPr>
          <w:ilvl w:val="0"/>
          <w:numId w:val="10"/>
        </w:numPr>
        <w:tabs>
          <w:tab w:val="left" w:pos="720"/>
        </w:tabs>
        <w:ind w:hanging="720"/>
        <w:rPr>
          <w:rFonts w:eastAsia="Times New Roman" w:cstheme="minorHAnsi"/>
          <w:color w:val="auto"/>
          <w:sz w:val="24"/>
          <w:szCs w:val="24"/>
        </w:rPr>
      </w:pPr>
      <w:r w:rsidRPr="00EA2692">
        <w:rPr>
          <w:rFonts w:eastAsia="Times New Roman" w:cstheme="minorHAnsi"/>
          <w:b/>
          <w:bCs/>
          <w:color w:val="auto"/>
          <w:sz w:val="24"/>
          <w:szCs w:val="24"/>
        </w:rPr>
        <w:t>Children</w:t>
      </w:r>
      <w:r w:rsidR="00CC5ADB" w:rsidRPr="00EA2692">
        <w:rPr>
          <w:rFonts w:eastAsia="Times New Roman" w:cstheme="minorHAnsi"/>
          <w:b/>
          <w:bCs/>
          <w:color w:val="auto"/>
          <w:sz w:val="24"/>
          <w:szCs w:val="24"/>
        </w:rPr>
        <w:t xml:space="preserve"> and youth</w:t>
      </w:r>
      <w:r w:rsidRPr="00EA2692">
        <w:rPr>
          <w:rFonts w:eastAsia="Times New Roman" w:cstheme="minorHAnsi"/>
          <w:b/>
          <w:bCs/>
          <w:color w:val="auto"/>
          <w:sz w:val="24"/>
          <w:szCs w:val="24"/>
        </w:rPr>
        <w:t xml:space="preserve"> with special health care needs</w:t>
      </w:r>
      <w:r w:rsidR="00CC5ADB" w:rsidRPr="00EA2692">
        <w:rPr>
          <w:rFonts w:eastAsia="Times New Roman" w:cstheme="minorHAnsi"/>
          <w:b/>
          <w:bCs/>
          <w:color w:val="auto"/>
          <w:sz w:val="24"/>
          <w:szCs w:val="24"/>
        </w:rPr>
        <w:t xml:space="preserve"> (CYSHCN)</w:t>
      </w:r>
      <w:r w:rsidRPr="00EA2692">
        <w:rPr>
          <w:rFonts w:eastAsia="Times New Roman" w:cstheme="minorHAnsi"/>
          <w:b/>
          <w:bCs/>
          <w:color w:val="auto"/>
          <w:sz w:val="24"/>
          <w:szCs w:val="24"/>
        </w:rPr>
        <w:t>:</w:t>
      </w:r>
      <w:r w:rsidRPr="00EA2692">
        <w:rPr>
          <w:rFonts w:eastAsia="Times New Roman" w:cstheme="minorHAnsi"/>
          <w:color w:val="auto"/>
          <w:sz w:val="24"/>
          <w:szCs w:val="24"/>
        </w:rPr>
        <w:t xml:space="preserve">  </w:t>
      </w:r>
    </w:p>
    <w:p w14:paraId="1AEEEEDF" w14:textId="75A66315" w:rsidR="00CC5ADB" w:rsidRPr="00EA2692" w:rsidRDefault="00CC5ADB" w:rsidP="00CC5ADB">
      <w:pPr>
        <w:pStyle w:val="ListParagraph"/>
        <w:numPr>
          <w:ilvl w:val="0"/>
          <w:numId w:val="14"/>
        </w:numPr>
        <w:tabs>
          <w:tab w:val="left" w:pos="720"/>
        </w:tabs>
        <w:rPr>
          <w:rFonts w:eastAsia="Times New Roman" w:cstheme="minorHAnsi"/>
          <w:color w:val="auto"/>
          <w:sz w:val="24"/>
          <w:szCs w:val="24"/>
        </w:rPr>
      </w:pPr>
      <w:r w:rsidRPr="00EA2692">
        <w:rPr>
          <w:rFonts w:eastAsia="Times New Roman" w:cstheme="minorHAnsi"/>
          <w:color w:val="auto"/>
          <w:sz w:val="24"/>
          <w:szCs w:val="24"/>
        </w:rPr>
        <w:t>Ages 0 to 21 years old</w:t>
      </w:r>
    </w:p>
    <w:p w14:paraId="5B4EA293" w14:textId="77777777" w:rsidR="00CC5ADB" w:rsidRPr="00EA2692" w:rsidRDefault="00CC5ADB" w:rsidP="00CC5ADB">
      <w:pPr>
        <w:pStyle w:val="ListParagraph"/>
        <w:numPr>
          <w:ilvl w:val="0"/>
          <w:numId w:val="14"/>
        </w:numPr>
        <w:tabs>
          <w:tab w:val="left" w:pos="720"/>
        </w:tabs>
        <w:rPr>
          <w:rFonts w:eastAsia="Times New Roman" w:cstheme="minorHAnsi"/>
          <w:color w:val="auto"/>
          <w:sz w:val="24"/>
          <w:szCs w:val="24"/>
        </w:rPr>
      </w:pPr>
      <w:r w:rsidRPr="00EA2692">
        <w:rPr>
          <w:rFonts w:eastAsia="Times New Roman" w:cstheme="minorHAnsi"/>
          <w:color w:val="auto"/>
          <w:sz w:val="24"/>
          <w:szCs w:val="24"/>
        </w:rPr>
        <w:t>Children with an increased risk for chronic physical, developmental, behavioral or emotional health conditions and often require health care beyond what is required for children and youth generally.</w:t>
      </w:r>
    </w:p>
    <w:p w14:paraId="09A04A29" w14:textId="6879B22D" w:rsidR="00411275" w:rsidRPr="00EA2692" w:rsidRDefault="00CC5ADB" w:rsidP="00CC5ADB">
      <w:pPr>
        <w:pStyle w:val="ListParagraph"/>
        <w:numPr>
          <w:ilvl w:val="0"/>
          <w:numId w:val="14"/>
        </w:numPr>
        <w:tabs>
          <w:tab w:val="left" w:pos="720"/>
        </w:tabs>
        <w:rPr>
          <w:rFonts w:eastAsia="Times New Roman" w:cstheme="minorHAnsi"/>
          <w:color w:val="auto"/>
          <w:sz w:val="24"/>
          <w:szCs w:val="24"/>
        </w:rPr>
      </w:pPr>
      <w:r w:rsidRPr="00EA2692">
        <w:rPr>
          <w:rFonts w:eastAsia="Times New Roman" w:cstheme="minorHAnsi"/>
          <w:color w:val="auto"/>
          <w:sz w:val="24"/>
          <w:szCs w:val="24"/>
        </w:rPr>
        <w:t xml:space="preserve">Includes a wide variety of conditions, such as asthma, sickle cell disease, epilepsy, anxiety, autism and learning disabilities. </w:t>
      </w:r>
    </w:p>
    <w:p w14:paraId="6549C7A1"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Clarification:</w:t>
      </w:r>
      <w:r w:rsidRPr="00EA2692">
        <w:rPr>
          <w:rFonts w:eastAsia="Times New Roman" w:cstheme="minorHAnsi"/>
          <w:color w:val="auto"/>
          <w:sz w:val="24"/>
          <w:szCs w:val="24"/>
        </w:rPr>
        <w:t xml:space="preserve">  The Department reserves the right to request clarification of information submitted and to request additional information regarding the proposal.</w:t>
      </w:r>
    </w:p>
    <w:p w14:paraId="7F649A8C" w14:textId="6688881A" w:rsidR="0099538B" w:rsidRPr="00EA2692" w:rsidRDefault="0099538B"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 xml:space="preserve">Collaboration:  </w:t>
      </w:r>
      <w:r w:rsidRPr="00EA2692">
        <w:rPr>
          <w:rFonts w:eastAsia="Times New Roman" w:cstheme="minorHAnsi"/>
          <w:color w:val="auto"/>
          <w:sz w:val="24"/>
          <w:szCs w:val="24"/>
        </w:rPr>
        <w:t>two or more individuals working together to achieve a common goal or complete a task.  Emphasizes shared effort, communication, pooling of resources, skills, and ideas.  Widely recognized as a key driver of innovation, problem-solving, and overall success.</w:t>
      </w:r>
    </w:p>
    <w:p w14:paraId="5A7C694B" w14:textId="4FD37CB9"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Coalition</w:t>
      </w:r>
      <w:r w:rsidRPr="00EA2692">
        <w:rPr>
          <w:rFonts w:eastAsia="Times New Roman" w:cstheme="minorHAnsi"/>
          <w:b/>
          <w:color w:val="auto"/>
          <w:sz w:val="24"/>
          <w:szCs w:val="24"/>
        </w:rPr>
        <w:t>:</w:t>
      </w:r>
      <w:r w:rsidRPr="00EA2692">
        <w:rPr>
          <w:rFonts w:eastAsia="Times New Roman" w:cstheme="minorHAnsi"/>
          <w:color w:val="auto"/>
          <w:sz w:val="24"/>
          <w:szCs w:val="24"/>
        </w:rPr>
        <w:t xml:space="preserve">  A coalition is an alliance of individuals, groups, parties, or states that come together, join forces, or form partnerships, usually for a specific or common purpose.</w:t>
      </w:r>
    </w:p>
    <w:p w14:paraId="71E03B1C" w14:textId="4A64E46D"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Community partners</w:t>
      </w:r>
      <w:r w:rsidRPr="00EA2692">
        <w:rPr>
          <w:rFonts w:eastAsia="Times New Roman" w:cstheme="minorHAnsi"/>
          <w:b/>
          <w:color w:val="auto"/>
          <w:sz w:val="24"/>
          <w:szCs w:val="24"/>
        </w:rPr>
        <w:t>:</w:t>
      </w:r>
      <w:r w:rsidRPr="00EA2692">
        <w:rPr>
          <w:rFonts w:eastAsia="Times New Roman" w:cstheme="minorHAnsi"/>
          <w:color w:val="auto"/>
          <w:sz w:val="24"/>
          <w:szCs w:val="24"/>
        </w:rPr>
        <w:t xml:space="preserve">  A person in an agency or other entity outside the contractor’s direct control upon whom the contractor relies on to build and sustain its service coordination system.</w:t>
      </w:r>
    </w:p>
    <w:p w14:paraId="42488B58"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Compliance</w:t>
      </w:r>
      <w:r w:rsidRPr="00EA2692">
        <w:rPr>
          <w:rFonts w:eastAsia="Times New Roman" w:cstheme="minorHAnsi"/>
          <w:b/>
          <w:color w:val="auto"/>
          <w:sz w:val="24"/>
          <w:szCs w:val="24"/>
        </w:rPr>
        <w:t xml:space="preserve">:  </w:t>
      </w:r>
      <w:r w:rsidRPr="00EA2692">
        <w:rPr>
          <w:rFonts w:eastAsia="Times New Roman" w:cstheme="minorHAnsi"/>
          <w:color w:val="auto"/>
          <w:sz w:val="24"/>
          <w:szCs w:val="24"/>
        </w:rPr>
        <w:t>Conformity in fulfilling official requirements.</w:t>
      </w:r>
    </w:p>
    <w:p w14:paraId="741697A4"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Cultural competence</w:t>
      </w:r>
      <w:r w:rsidRPr="00EA2692">
        <w:rPr>
          <w:rFonts w:eastAsia="Times New Roman" w:cstheme="minorHAnsi"/>
          <w:b/>
          <w:color w:val="auto"/>
          <w:sz w:val="24"/>
          <w:szCs w:val="24"/>
        </w:rPr>
        <w:t>:</w:t>
      </w:r>
      <w:r w:rsidRPr="00EA2692">
        <w:rPr>
          <w:rFonts w:eastAsia="Times New Roman" w:cstheme="minorHAnsi"/>
          <w:color w:val="auto"/>
          <w:sz w:val="24"/>
          <w:szCs w:val="24"/>
        </w:rPr>
        <w:t xml:space="preserve">  Refers to an ability to interact effectively with people of different cultures.  Cultural competence comprises four components: (a) awareness of one's own cultural worldview, (b) attitude towards cultural differences, (c) knowledge of different cultural practices and worldviews, and (d) </w:t>
      </w:r>
    </w:p>
    <w:p w14:paraId="21C46544" w14:textId="77777777" w:rsidR="00411275" w:rsidRPr="00EA2692" w:rsidRDefault="00411275" w:rsidP="00411275">
      <w:pPr>
        <w:tabs>
          <w:tab w:val="left" w:pos="720"/>
        </w:tabs>
        <w:ind w:left="720"/>
        <w:contextualSpacing/>
        <w:rPr>
          <w:rFonts w:eastAsia="Times New Roman" w:cstheme="minorHAnsi"/>
          <w:color w:val="auto"/>
          <w:sz w:val="24"/>
          <w:szCs w:val="24"/>
        </w:rPr>
      </w:pPr>
      <w:r w:rsidRPr="00EA2692">
        <w:rPr>
          <w:rFonts w:eastAsia="Times New Roman" w:cstheme="minorHAnsi"/>
          <w:color w:val="auto"/>
          <w:sz w:val="24"/>
          <w:szCs w:val="24"/>
        </w:rPr>
        <w:t>Cross-cultural skills.  Developing cultural competence results in understanding, communicating with, and effectively interacting with people across cultures.</w:t>
      </w:r>
    </w:p>
    <w:p w14:paraId="066DB0C2"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Equipment:</w:t>
      </w:r>
      <w:r w:rsidRPr="00EA2692">
        <w:rPr>
          <w:rFonts w:eastAsia="Times New Roman" w:cstheme="minorHAnsi"/>
          <w:color w:val="auto"/>
          <w:sz w:val="24"/>
          <w:szCs w:val="24"/>
        </w:rPr>
        <w:t xml:space="preserve">  Tangible personal property (including information technology systems) having a useful life of more than one year and a per-unit acquisition cost that equals or exceeds the lesser of the capitalization level established by the non-Federal entity for financial statement purposes or $5,000.</w:t>
      </w:r>
    </w:p>
    <w:p w14:paraId="3922A7CB"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Evaluation</w:t>
      </w:r>
      <w:r w:rsidRPr="00EA2692">
        <w:rPr>
          <w:rFonts w:eastAsia="Times New Roman" w:cstheme="minorHAnsi"/>
          <w:b/>
          <w:color w:val="auto"/>
          <w:sz w:val="24"/>
          <w:szCs w:val="24"/>
        </w:rPr>
        <w:t>:</w:t>
      </w:r>
      <w:r w:rsidRPr="00EA2692">
        <w:rPr>
          <w:rFonts w:eastAsia="Times New Roman" w:cstheme="minorHAnsi"/>
          <w:color w:val="auto"/>
          <w:sz w:val="24"/>
          <w:szCs w:val="24"/>
        </w:rPr>
        <w:t xml:space="preserve">  The systematic process of determining the merit and significance of a program, course, or other initiative using criteria against a set of standards.</w:t>
      </w:r>
    </w:p>
    <w:p w14:paraId="018BDBC2"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Evidence-based public health</w:t>
      </w:r>
      <w:r w:rsidRPr="00EA2692">
        <w:rPr>
          <w:rFonts w:eastAsia="Times New Roman" w:cstheme="minorHAnsi"/>
          <w:b/>
          <w:color w:val="auto"/>
          <w:sz w:val="24"/>
          <w:szCs w:val="24"/>
        </w:rPr>
        <w:t>:</w:t>
      </w:r>
      <w:r w:rsidRPr="00EA2692">
        <w:rPr>
          <w:rFonts w:eastAsia="Times New Roman" w:cstheme="minorHAnsi"/>
          <w:color w:val="auto"/>
          <w:sz w:val="24"/>
          <w:szCs w:val="24"/>
        </w:rPr>
        <w:t xml:space="preserve">  The development, implementation, and evaluation of effective programs and policies in public health through the application of principles of scientific reasoning, including systematic uses of data and information systems and appropriate use of behavioral science theory and program planning models.</w:t>
      </w:r>
    </w:p>
    <w:p w14:paraId="6D7A601D" w14:textId="77777777" w:rsidR="00411275" w:rsidRPr="00EA2692" w:rsidRDefault="00411275" w:rsidP="00411275">
      <w:pPr>
        <w:tabs>
          <w:tab w:val="left" w:pos="720"/>
        </w:tabs>
        <w:ind w:left="720"/>
        <w:contextualSpacing/>
        <w:rPr>
          <w:rFonts w:eastAsia="Times New Roman" w:cstheme="minorHAnsi"/>
          <w:i/>
          <w:color w:val="auto"/>
          <w:sz w:val="24"/>
          <w:szCs w:val="24"/>
        </w:rPr>
      </w:pPr>
      <w:r w:rsidRPr="00EA2692">
        <w:rPr>
          <w:rFonts w:eastAsia="Times New Roman" w:cstheme="minorHAnsi"/>
          <w:i/>
          <w:color w:val="auto"/>
          <w:sz w:val="24"/>
          <w:szCs w:val="24"/>
        </w:rPr>
        <w:t>Source:</w:t>
      </w:r>
    </w:p>
    <w:p w14:paraId="7BFBCCF8" w14:textId="05F3391D" w:rsidR="0099538B" w:rsidRPr="00EA2692" w:rsidRDefault="00411275" w:rsidP="0099538B">
      <w:pPr>
        <w:tabs>
          <w:tab w:val="left" w:pos="720"/>
        </w:tabs>
        <w:ind w:left="720"/>
        <w:contextualSpacing/>
        <w:rPr>
          <w:rFonts w:eastAsia="Times New Roman" w:cstheme="minorHAnsi"/>
          <w:color w:val="auto"/>
          <w:sz w:val="24"/>
          <w:szCs w:val="24"/>
        </w:rPr>
      </w:pPr>
      <w:r w:rsidRPr="00EA2692">
        <w:rPr>
          <w:rFonts w:eastAsia="Times New Roman" w:cstheme="minorHAnsi"/>
          <w:color w:val="auto"/>
          <w:sz w:val="24"/>
          <w:szCs w:val="24"/>
        </w:rPr>
        <w:lastRenderedPageBreak/>
        <w:t xml:space="preserve">Brownson RC, Baker EA, Leet TL, Gillespie KN. </w:t>
      </w:r>
      <w:r w:rsidRPr="00EA2692">
        <w:rPr>
          <w:rFonts w:eastAsia="Times New Roman" w:cstheme="minorHAnsi"/>
          <w:i/>
          <w:color w:val="auto"/>
          <w:sz w:val="24"/>
          <w:szCs w:val="24"/>
        </w:rPr>
        <w:t xml:space="preserve">Evidence-Based Public Health. </w:t>
      </w:r>
      <w:r w:rsidRPr="00EA2692">
        <w:rPr>
          <w:rFonts w:eastAsia="Times New Roman" w:cstheme="minorHAnsi"/>
          <w:color w:val="auto"/>
          <w:sz w:val="24"/>
          <w:szCs w:val="24"/>
        </w:rPr>
        <w:t>New York:  Oxford University Press; 2003</w:t>
      </w:r>
    </w:p>
    <w:p w14:paraId="38DE6F13" w14:textId="5C27D3CF" w:rsidR="00EA2692" w:rsidRPr="00EA2692" w:rsidRDefault="00EA2692" w:rsidP="00411275">
      <w:pPr>
        <w:numPr>
          <w:ilvl w:val="0"/>
          <w:numId w:val="10"/>
        </w:numPr>
        <w:tabs>
          <w:tab w:val="left" w:pos="720"/>
        </w:tabs>
        <w:ind w:hanging="720"/>
        <w:contextualSpacing/>
        <w:rPr>
          <w:rFonts w:eastAsia="Times New Roman" w:cstheme="minorHAnsi"/>
          <w:iCs/>
          <w:color w:val="auto"/>
          <w:sz w:val="24"/>
          <w:szCs w:val="24"/>
        </w:rPr>
      </w:pPr>
      <w:r w:rsidRPr="00EA2692">
        <w:rPr>
          <w:rFonts w:eastAsia="Times New Roman" w:cstheme="minorHAnsi"/>
          <w:b/>
          <w:bCs/>
          <w:iCs/>
          <w:color w:val="auto"/>
          <w:sz w:val="24"/>
          <w:szCs w:val="24"/>
        </w:rPr>
        <w:t xml:space="preserve">Excellence:  </w:t>
      </w:r>
      <w:r w:rsidRPr="00EA2692">
        <w:rPr>
          <w:rFonts w:eastAsia="Times New Roman" w:cstheme="minorHAnsi"/>
          <w:iCs/>
          <w:color w:val="auto"/>
          <w:sz w:val="24"/>
          <w:szCs w:val="24"/>
        </w:rPr>
        <w:t>quality of being outstanding, great, the very best; is never easy to do.</w:t>
      </w:r>
    </w:p>
    <w:p w14:paraId="3B0AEDA9" w14:textId="2CEA702E" w:rsidR="0099538B" w:rsidRPr="00EA2692" w:rsidRDefault="0099538B" w:rsidP="00411275">
      <w:pPr>
        <w:numPr>
          <w:ilvl w:val="0"/>
          <w:numId w:val="10"/>
        </w:numPr>
        <w:tabs>
          <w:tab w:val="left" w:pos="720"/>
        </w:tabs>
        <w:ind w:hanging="720"/>
        <w:contextualSpacing/>
        <w:rPr>
          <w:rFonts w:eastAsia="Times New Roman" w:cstheme="minorHAnsi"/>
          <w:iCs/>
          <w:color w:val="auto"/>
          <w:sz w:val="24"/>
          <w:szCs w:val="24"/>
        </w:rPr>
      </w:pPr>
      <w:r w:rsidRPr="00EA2692">
        <w:rPr>
          <w:rFonts w:eastAsia="Times New Roman" w:cstheme="minorHAnsi"/>
          <w:b/>
          <w:bCs/>
          <w:iCs/>
          <w:color w:val="auto"/>
          <w:sz w:val="24"/>
          <w:szCs w:val="24"/>
        </w:rPr>
        <w:t xml:space="preserve">Family and youth partnership engagement:  </w:t>
      </w:r>
      <w:r w:rsidRPr="00EA2692">
        <w:rPr>
          <w:rFonts w:eastAsia="Times New Roman" w:cstheme="minorHAnsi"/>
          <w:iCs/>
          <w:color w:val="auto"/>
          <w:sz w:val="24"/>
          <w:szCs w:val="24"/>
        </w:rPr>
        <w:t>collaborative relationship between families, young people, and professionals in various settings.  It emphasizes mutual respect, shared decision-making, and expertise brought by each.  Aims to improve outcomes for young people by fostering their well-being, academic success, and positive development.</w:t>
      </w:r>
    </w:p>
    <w:p w14:paraId="70A111C6" w14:textId="5EE2BA1E" w:rsidR="00411275" w:rsidRPr="00EA2692" w:rsidRDefault="00411275" w:rsidP="00411275">
      <w:pPr>
        <w:numPr>
          <w:ilvl w:val="0"/>
          <w:numId w:val="10"/>
        </w:numPr>
        <w:tabs>
          <w:tab w:val="left" w:pos="720"/>
        </w:tabs>
        <w:ind w:hanging="720"/>
        <w:contextualSpacing/>
        <w:rPr>
          <w:rFonts w:eastAsia="Times New Roman" w:cstheme="minorHAnsi"/>
          <w:iCs/>
          <w:color w:val="auto"/>
          <w:sz w:val="24"/>
          <w:szCs w:val="24"/>
        </w:rPr>
      </w:pPr>
      <w:r w:rsidRPr="00EA2692">
        <w:rPr>
          <w:rFonts w:eastAsia="Times New Roman" w:cstheme="minorHAnsi"/>
          <w:b/>
          <w:bCs/>
          <w:color w:val="auto"/>
          <w:sz w:val="24"/>
          <w:szCs w:val="24"/>
        </w:rPr>
        <w:t xml:space="preserve">Federal funding source: </w:t>
      </w:r>
      <w:r w:rsidRPr="00EA2692">
        <w:rPr>
          <w:rFonts w:eastAsia="Times New Roman" w:cstheme="minorHAnsi"/>
          <w:bCs/>
          <w:color w:val="auto"/>
          <w:sz w:val="24"/>
          <w:szCs w:val="24"/>
        </w:rPr>
        <w:t xml:space="preserve"> Maternal Child Health (</w:t>
      </w:r>
      <w:r w:rsidRPr="00EA2692">
        <w:rPr>
          <w:rFonts w:eastAsia="Times New Roman" w:cstheme="minorHAnsi"/>
          <w:color w:val="auto"/>
          <w:sz w:val="24"/>
          <w:szCs w:val="24"/>
        </w:rPr>
        <w:t xml:space="preserve">MCH) Services contract funds are made available through the Maternal and Child Health Services Title V Block </w:t>
      </w:r>
    </w:p>
    <w:p w14:paraId="6E33BE88" w14:textId="77777777" w:rsidR="00411275" w:rsidRPr="00EA2692" w:rsidRDefault="00411275" w:rsidP="00411275">
      <w:pPr>
        <w:tabs>
          <w:tab w:val="left" w:pos="720"/>
        </w:tabs>
        <w:ind w:left="720"/>
        <w:contextualSpacing/>
        <w:rPr>
          <w:rFonts w:eastAsia="Times New Roman" w:cstheme="minorHAnsi"/>
          <w:color w:val="auto"/>
          <w:sz w:val="24"/>
          <w:szCs w:val="24"/>
        </w:rPr>
      </w:pPr>
      <w:r w:rsidRPr="00EA2692">
        <w:rPr>
          <w:rFonts w:eastAsia="Times New Roman" w:cstheme="minorHAnsi"/>
          <w:color w:val="auto"/>
          <w:sz w:val="24"/>
          <w:szCs w:val="24"/>
        </w:rPr>
        <w:t>Grant.</w:t>
      </w:r>
    </w:p>
    <w:p w14:paraId="52214CEF"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Fetal mortality:</w:t>
      </w:r>
      <w:r w:rsidRPr="00EA2692">
        <w:rPr>
          <w:rFonts w:eastAsia="Times New Roman" w:cstheme="minorHAnsi"/>
          <w:color w:val="auto"/>
          <w:sz w:val="24"/>
          <w:szCs w:val="24"/>
        </w:rPr>
        <w:t xml:space="preserve">  The intrauterine death of a fetus at any gestational age.</w:t>
      </w:r>
    </w:p>
    <w:p w14:paraId="62914B75" w14:textId="7C0E4103" w:rsidR="00411275" w:rsidRPr="00EA2692" w:rsidRDefault="00411275" w:rsidP="00411275">
      <w:pPr>
        <w:numPr>
          <w:ilvl w:val="0"/>
          <w:numId w:val="10"/>
        </w:numPr>
        <w:tabs>
          <w:tab w:val="left" w:pos="720"/>
        </w:tabs>
        <w:autoSpaceDE w:val="0"/>
        <w:autoSpaceDN w:val="0"/>
        <w:adjustRightInd w:val="0"/>
        <w:ind w:hanging="720"/>
        <w:contextualSpacing/>
        <w:rPr>
          <w:rFonts w:eastAsia="Times New Roman" w:cstheme="minorHAnsi"/>
          <w:iCs/>
          <w:color w:val="auto"/>
          <w:sz w:val="24"/>
          <w:szCs w:val="24"/>
        </w:rPr>
      </w:pPr>
      <w:r w:rsidRPr="00EA2692">
        <w:rPr>
          <w:rFonts w:eastAsia="Times New Roman" w:cstheme="minorHAnsi"/>
          <w:b/>
          <w:color w:val="auto"/>
          <w:sz w:val="24"/>
          <w:szCs w:val="24"/>
        </w:rPr>
        <w:t xml:space="preserve">Funding methodology:  </w:t>
      </w:r>
      <w:r w:rsidRPr="00EA2692">
        <w:rPr>
          <w:rFonts w:eastAsia="Times New Roman" w:cstheme="minorHAnsi"/>
          <w:color w:val="auto"/>
          <w:sz w:val="24"/>
          <w:szCs w:val="24"/>
        </w:rPr>
        <w:t xml:space="preserve">Funding for each jurisdiction is based on the following formula: “A Combined Poverty Index Score is determined for each county in Missouri by </w:t>
      </w:r>
      <w:r w:rsidR="00921EC1" w:rsidRPr="00EA2692">
        <w:rPr>
          <w:rFonts w:eastAsia="Times New Roman" w:cstheme="minorHAnsi"/>
          <w:color w:val="auto"/>
          <w:sz w:val="24"/>
          <w:szCs w:val="24"/>
        </w:rPr>
        <w:t>the Bureau of Health Care and Data Dissemination (BHCADD)</w:t>
      </w:r>
      <w:r w:rsidRPr="00EA2692">
        <w:rPr>
          <w:rFonts w:eastAsia="Times New Roman" w:cstheme="minorHAnsi"/>
          <w:color w:val="auto"/>
          <w:sz w:val="24"/>
          <w:szCs w:val="24"/>
        </w:rPr>
        <w:t>. The Combined Poverty Index Score is a composite of two factors for each of the 11</w:t>
      </w:r>
      <w:r w:rsidR="00921EC1" w:rsidRPr="00EA2692">
        <w:rPr>
          <w:rFonts w:eastAsia="Times New Roman" w:cstheme="minorHAnsi"/>
          <w:color w:val="auto"/>
          <w:sz w:val="24"/>
          <w:szCs w:val="24"/>
        </w:rPr>
        <w:t>2</w:t>
      </w:r>
      <w:r w:rsidRPr="00EA2692">
        <w:rPr>
          <w:rFonts w:eastAsia="Times New Roman" w:cstheme="minorHAnsi"/>
          <w:color w:val="auto"/>
          <w:sz w:val="24"/>
          <w:szCs w:val="24"/>
        </w:rPr>
        <w:t xml:space="preserve"> participating jurisdictions. The Maternal-Infant Indicator is an unduplicated count of the most recent 5-year period (20</w:t>
      </w:r>
      <w:r w:rsidR="00921EC1" w:rsidRPr="00EA2692">
        <w:rPr>
          <w:rFonts w:eastAsia="Times New Roman" w:cstheme="minorHAnsi"/>
          <w:color w:val="auto"/>
          <w:sz w:val="24"/>
          <w:szCs w:val="24"/>
        </w:rPr>
        <w:t>20-</w:t>
      </w:r>
      <w:r w:rsidRPr="00EA2692">
        <w:rPr>
          <w:rFonts w:eastAsia="Times New Roman" w:cstheme="minorHAnsi"/>
          <w:color w:val="auto"/>
          <w:sz w:val="24"/>
          <w:szCs w:val="24"/>
        </w:rPr>
        <w:t>202</w:t>
      </w:r>
      <w:r w:rsidR="00921EC1" w:rsidRPr="00EA2692">
        <w:rPr>
          <w:rFonts w:eastAsia="Times New Roman" w:cstheme="minorHAnsi"/>
          <w:color w:val="auto"/>
          <w:sz w:val="24"/>
          <w:szCs w:val="24"/>
        </w:rPr>
        <w:t>4</w:t>
      </w:r>
      <w:r w:rsidRPr="00EA2692">
        <w:rPr>
          <w:rFonts w:eastAsia="Times New Roman" w:cstheme="minorHAnsi"/>
          <w:color w:val="auto"/>
          <w:sz w:val="24"/>
          <w:szCs w:val="24"/>
        </w:rPr>
        <w:t xml:space="preserve"> for FFY202</w:t>
      </w:r>
      <w:r w:rsidR="00921EC1" w:rsidRPr="00EA2692">
        <w:rPr>
          <w:rFonts w:eastAsia="Times New Roman" w:cstheme="minorHAnsi"/>
          <w:color w:val="auto"/>
          <w:sz w:val="24"/>
          <w:szCs w:val="24"/>
        </w:rPr>
        <w:t>6</w:t>
      </w:r>
      <w:r w:rsidRPr="00EA2692">
        <w:rPr>
          <w:rFonts w:eastAsia="Times New Roman" w:cstheme="minorHAnsi"/>
          <w:color w:val="auto"/>
          <w:sz w:val="24"/>
          <w:szCs w:val="24"/>
        </w:rPr>
        <w:t>) for the following resident counts from Missouri Vital Statistics birth data: 1) births to mother under 18, 2) infant and fetal deaths, and 3) low birth weight births. The Female/Child Poverty Indicator uses the most recent American Community Survey 5-year estimates (20</w:t>
      </w:r>
      <w:r w:rsidR="00921EC1" w:rsidRPr="00EA2692">
        <w:rPr>
          <w:rFonts w:eastAsia="Times New Roman" w:cstheme="minorHAnsi"/>
          <w:color w:val="auto"/>
          <w:sz w:val="24"/>
          <w:szCs w:val="24"/>
        </w:rPr>
        <w:t>20</w:t>
      </w:r>
      <w:r w:rsidRPr="00EA2692">
        <w:rPr>
          <w:rFonts w:eastAsia="Times New Roman" w:cstheme="minorHAnsi"/>
          <w:color w:val="auto"/>
          <w:sz w:val="24"/>
          <w:szCs w:val="24"/>
        </w:rPr>
        <w:t>-202</w:t>
      </w:r>
      <w:r w:rsidR="00921EC1" w:rsidRPr="00EA2692">
        <w:rPr>
          <w:rFonts w:eastAsia="Times New Roman" w:cstheme="minorHAnsi"/>
          <w:color w:val="auto"/>
          <w:sz w:val="24"/>
          <w:szCs w:val="24"/>
        </w:rPr>
        <w:t>4</w:t>
      </w:r>
      <w:r w:rsidRPr="00EA2692">
        <w:rPr>
          <w:rFonts w:eastAsia="Times New Roman" w:cstheme="minorHAnsi"/>
          <w:color w:val="auto"/>
          <w:sz w:val="24"/>
          <w:szCs w:val="24"/>
        </w:rPr>
        <w:t xml:space="preserve"> for FFY 202</w:t>
      </w:r>
      <w:r w:rsidR="00921EC1" w:rsidRPr="00EA2692">
        <w:rPr>
          <w:rFonts w:eastAsia="Times New Roman" w:cstheme="minorHAnsi"/>
          <w:color w:val="auto"/>
          <w:sz w:val="24"/>
          <w:szCs w:val="24"/>
        </w:rPr>
        <w:t>6</w:t>
      </w:r>
      <w:r w:rsidRPr="00EA2692">
        <w:rPr>
          <w:rFonts w:eastAsia="Times New Roman" w:cstheme="minorHAnsi"/>
          <w:color w:val="auto"/>
          <w:sz w:val="24"/>
          <w:szCs w:val="24"/>
        </w:rPr>
        <w:t>) for poverty data. It is the sum of the 1) estimated number of women 18-44</w:t>
      </w:r>
      <w:r w:rsidRPr="00EA2692">
        <w:rPr>
          <w:rFonts w:eastAsia="Times New Roman" w:cstheme="minorHAnsi"/>
          <w:iCs/>
          <w:color w:val="auto"/>
          <w:sz w:val="24"/>
          <w:szCs w:val="24"/>
        </w:rPr>
        <w:t>, males under age 18, and females under age 15 at 185% of the federal poverty level.</w:t>
      </w:r>
      <w:r w:rsidRPr="00EA2692">
        <w:rPr>
          <w:rFonts w:eastAsia="Times New Roman" w:cstheme="minorHAnsi"/>
          <w:color w:val="auto"/>
          <w:sz w:val="24"/>
          <w:szCs w:val="24"/>
        </w:rPr>
        <w:t xml:space="preserve"> A base-funding amount of $15,000 is multiplied by 11</w:t>
      </w:r>
      <w:r w:rsidR="00921EC1" w:rsidRPr="00EA2692">
        <w:rPr>
          <w:rFonts w:eastAsia="Times New Roman" w:cstheme="minorHAnsi"/>
          <w:color w:val="auto"/>
          <w:sz w:val="24"/>
          <w:szCs w:val="24"/>
        </w:rPr>
        <w:t>2</w:t>
      </w:r>
      <w:r w:rsidRPr="00EA2692">
        <w:rPr>
          <w:rFonts w:eastAsia="Times New Roman" w:cstheme="minorHAnsi"/>
          <w:color w:val="auto"/>
          <w:sz w:val="24"/>
          <w:szCs w:val="24"/>
        </w:rPr>
        <w:t xml:space="preserve"> (# of LPHAs accepting contract) and subtracted from the total funding amount for the contract. The difference is then multiplied by the Combined Poverty Index Score for each county and added to the base-funding amount to arrive at the total award amount for each LPHA.”</w:t>
      </w:r>
    </w:p>
    <w:p w14:paraId="7B08B126" w14:textId="4ACF81BD" w:rsidR="00411275" w:rsidRPr="00EA2692" w:rsidRDefault="00411275" w:rsidP="00411275">
      <w:pPr>
        <w:numPr>
          <w:ilvl w:val="0"/>
          <w:numId w:val="10"/>
        </w:numPr>
        <w:tabs>
          <w:tab w:val="left" w:pos="720"/>
        </w:tabs>
        <w:autoSpaceDE w:val="0"/>
        <w:autoSpaceDN w:val="0"/>
        <w:adjustRightInd w:val="0"/>
        <w:ind w:hanging="720"/>
        <w:contextualSpacing/>
        <w:rPr>
          <w:rFonts w:eastAsia="Times New Roman" w:cstheme="minorHAnsi"/>
          <w:iCs/>
          <w:color w:val="auto"/>
          <w:sz w:val="24"/>
          <w:szCs w:val="24"/>
        </w:rPr>
      </w:pPr>
      <w:r w:rsidRPr="00EA2692">
        <w:rPr>
          <w:rFonts w:eastAsia="Times New Roman" w:cstheme="minorHAnsi"/>
          <w:b/>
          <w:iCs/>
          <w:color w:val="auto"/>
          <w:sz w:val="24"/>
          <w:szCs w:val="24"/>
        </w:rPr>
        <w:t>Goal:</w:t>
      </w:r>
      <w:r w:rsidRPr="00EA2692">
        <w:rPr>
          <w:rFonts w:eastAsia="Times New Roman" w:cstheme="minorHAnsi"/>
          <w:iCs/>
          <w:color w:val="auto"/>
          <w:sz w:val="24"/>
          <w:szCs w:val="24"/>
        </w:rPr>
        <w:t xml:space="preserve">  The anticipated result that guides actions.  It is the desired result envisioned and planned for, with a commitment to achieve a desired endpoint.</w:t>
      </w:r>
    </w:p>
    <w:p w14:paraId="1781035B" w14:textId="77777777" w:rsidR="00411275" w:rsidRPr="00EA2692" w:rsidRDefault="00411275" w:rsidP="00411275">
      <w:pPr>
        <w:numPr>
          <w:ilvl w:val="0"/>
          <w:numId w:val="10"/>
        </w:numPr>
        <w:tabs>
          <w:tab w:val="left" w:pos="720"/>
        </w:tabs>
        <w:autoSpaceDE w:val="0"/>
        <w:autoSpaceDN w:val="0"/>
        <w:adjustRightInd w:val="0"/>
        <w:ind w:hanging="720"/>
        <w:contextualSpacing/>
        <w:rPr>
          <w:rFonts w:eastAsia="Times New Roman" w:cstheme="minorHAnsi"/>
          <w:color w:val="auto"/>
          <w:sz w:val="24"/>
          <w:szCs w:val="24"/>
        </w:rPr>
      </w:pPr>
      <w:r w:rsidRPr="00EA2692">
        <w:rPr>
          <w:rFonts w:eastAsia="Times New Roman" w:cstheme="minorHAnsi"/>
          <w:b/>
          <w:bCs/>
          <w:color w:val="auto"/>
          <w:sz w:val="24"/>
          <w:szCs w:val="24"/>
        </w:rPr>
        <w:t xml:space="preserve">Health disparities:  </w:t>
      </w:r>
      <w:r w:rsidRPr="00EA2692">
        <w:rPr>
          <w:rFonts w:eastAsia="Times New Roman" w:cstheme="minorHAnsi"/>
          <w:bCs/>
          <w:color w:val="auto"/>
          <w:sz w:val="24"/>
          <w:szCs w:val="24"/>
        </w:rPr>
        <w:t>D</w:t>
      </w:r>
      <w:r w:rsidRPr="00EA2692">
        <w:rPr>
          <w:rFonts w:eastAsia="Times New Roman" w:cstheme="minorHAnsi"/>
          <w:color w:val="auto"/>
          <w:sz w:val="24"/>
          <w:szCs w:val="24"/>
        </w:rPr>
        <w:t xml:space="preserve">ifferences between groups of people that can affect frequency and/or impact disease or adverse outcomes.  Differences can include racial, ethnic, culture, gender, age, and disability diversity in a population. </w:t>
      </w:r>
    </w:p>
    <w:p w14:paraId="07225C4B"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Health literacy:</w:t>
      </w:r>
      <w:r w:rsidRPr="00EA2692">
        <w:rPr>
          <w:rFonts w:eastAsia="Times New Roman" w:cstheme="minorHAnsi"/>
          <w:color w:val="auto"/>
          <w:sz w:val="24"/>
          <w:szCs w:val="24"/>
        </w:rPr>
        <w:t xml:space="preserve">  The degree to which individuals have the capacity to obtain, process, and understand basic health information and services needed to make appropriate health decisions.</w:t>
      </w:r>
    </w:p>
    <w:p w14:paraId="4C3B68EF" w14:textId="12D12424"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Indirect costs:</w:t>
      </w:r>
      <w:r w:rsidRPr="00EA2692">
        <w:rPr>
          <w:rFonts w:eastAsia="Times New Roman" w:cstheme="minorHAnsi"/>
          <w:color w:val="auto"/>
          <w:sz w:val="24"/>
          <w:szCs w:val="24"/>
        </w:rPr>
        <w:t xml:space="preserve">  Costs associated with the management and oversight of any organization’s activities, and which are a result of all activities of the contractor.  Indirect costs may include such things as utilities, rent, administrative salaries, financial staff salaries, and building maintenance.</w:t>
      </w:r>
    </w:p>
    <w:p w14:paraId="205D44AF" w14:textId="408DBBDB" w:rsidR="00CC5ADB" w:rsidRPr="00EA2692" w:rsidRDefault="00CC5ADB"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Infant:</w:t>
      </w:r>
      <w:r w:rsidRPr="00EA2692">
        <w:rPr>
          <w:rFonts w:eastAsia="Times New Roman" w:cstheme="minorHAnsi"/>
          <w:color w:val="auto"/>
          <w:sz w:val="24"/>
          <w:szCs w:val="24"/>
        </w:rPr>
        <w:t xml:space="preserve">  Babies less than 1 year old.</w:t>
      </w:r>
    </w:p>
    <w:p w14:paraId="6E877D00" w14:textId="2387E266" w:rsidR="00EA2692" w:rsidRPr="00EA2692" w:rsidRDefault="00EA2692"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 xml:space="preserve">Integrity:  </w:t>
      </w:r>
      <w:r w:rsidRPr="00EA2692">
        <w:rPr>
          <w:rFonts w:eastAsia="Times New Roman" w:cstheme="minorHAnsi"/>
          <w:color w:val="auto"/>
          <w:sz w:val="24"/>
          <w:szCs w:val="24"/>
        </w:rPr>
        <w:t xml:space="preserve">quality of being honest and having strong moral principles.  Encompasses adhering to </w:t>
      </w:r>
      <w:proofErr w:type="gramStart"/>
      <w:r w:rsidRPr="00EA2692">
        <w:rPr>
          <w:rFonts w:eastAsia="Times New Roman" w:cstheme="minorHAnsi"/>
          <w:color w:val="auto"/>
          <w:sz w:val="24"/>
          <w:szCs w:val="24"/>
        </w:rPr>
        <w:t>these principle</w:t>
      </w:r>
      <w:proofErr w:type="gramEnd"/>
      <w:r w:rsidRPr="00EA2692">
        <w:rPr>
          <w:rFonts w:eastAsia="Times New Roman" w:cstheme="minorHAnsi"/>
          <w:color w:val="auto"/>
          <w:sz w:val="24"/>
          <w:szCs w:val="24"/>
        </w:rPr>
        <w:t xml:space="preserve"> when faced with difficult situations.  </w:t>
      </w:r>
    </w:p>
    <w:p w14:paraId="1E3581CD" w14:textId="6C4D5A20"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Infant mortality:</w:t>
      </w:r>
      <w:r w:rsidRPr="00EA2692">
        <w:rPr>
          <w:rFonts w:eastAsia="Times New Roman" w:cstheme="minorHAnsi"/>
          <w:color w:val="auto"/>
          <w:sz w:val="24"/>
          <w:szCs w:val="24"/>
        </w:rPr>
        <w:t xml:space="preserve">  Death of an infant during the first year of life.</w:t>
      </w:r>
    </w:p>
    <w:p w14:paraId="05C15B4F"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lastRenderedPageBreak/>
        <w:t>Interconception care:</w:t>
      </w:r>
      <w:r w:rsidRPr="00EA2692">
        <w:rPr>
          <w:rFonts w:eastAsia="Times New Roman" w:cstheme="minorHAnsi"/>
          <w:color w:val="auto"/>
          <w:sz w:val="24"/>
          <w:szCs w:val="24"/>
        </w:rPr>
        <w:t xml:space="preserve">  Preventive and primary care services for women between pregnancies, especially for women with identified risks and prior adverse pregnancy outcomes.</w:t>
      </w:r>
    </w:p>
    <w:p w14:paraId="65D8A443"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Interventions:</w:t>
      </w:r>
      <w:r w:rsidRPr="00EA2692">
        <w:rPr>
          <w:rFonts w:eastAsia="Times New Roman" w:cstheme="minorHAnsi"/>
          <w:color w:val="auto"/>
          <w:sz w:val="24"/>
          <w:szCs w:val="24"/>
        </w:rPr>
        <w:t xml:space="preserve">  Actions taken on behalf of individuals, families, systems, and communities to improve or protect health status.</w:t>
      </w:r>
    </w:p>
    <w:p w14:paraId="432291E1" w14:textId="55DF3225"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Joint submission:</w:t>
      </w:r>
      <w:r w:rsidRPr="00EA2692">
        <w:rPr>
          <w:rFonts w:eastAsia="Times New Roman" w:cstheme="minorHAnsi"/>
          <w:color w:val="auto"/>
          <w:sz w:val="24"/>
          <w:szCs w:val="24"/>
        </w:rPr>
        <w:t xml:space="preserve">  Agencies may work collectively in groups to address needs across a larger geographical area.  In such cases, funding will be based on the total available to the geographical area working in such a collaborative relationship.  Multi-geographical area proposals must address the same selected priority health issue(s) and must describe how this joint effort is to be delineated between all included jurisdictions.  One of the </w:t>
      </w:r>
      <w:proofErr w:type="gramStart"/>
      <w:r w:rsidRPr="00EA2692">
        <w:rPr>
          <w:rFonts w:eastAsia="Times New Roman" w:cstheme="minorHAnsi"/>
          <w:color w:val="auto"/>
          <w:sz w:val="24"/>
          <w:szCs w:val="24"/>
        </w:rPr>
        <w:t>partner</w:t>
      </w:r>
      <w:proofErr w:type="gramEnd"/>
      <w:r w:rsidRPr="00EA2692">
        <w:rPr>
          <w:rFonts w:eastAsia="Times New Roman" w:cstheme="minorHAnsi"/>
          <w:color w:val="auto"/>
          <w:sz w:val="24"/>
          <w:szCs w:val="24"/>
        </w:rPr>
        <w:t xml:space="preserve"> LPHAs must be designated as lead, and the lead agency will be the Contractor or Contracting Agency.  Letters of agreement with the Contracting Agency are required.  Letters of agreement between partner LPHAs must be included as part of the proposal.  The requirements for joint submission contract proposals as mentioned above, do not apply to local public health agencies of multiple geographic areas with combined governance (i.e., Columbia/Boone County, Phelps/Maries, and Tri-County [Worth, Gentry, DeKalb]).</w:t>
      </w:r>
    </w:p>
    <w:p w14:paraId="20434207"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 xml:space="preserve">Life Course Perspective:  </w:t>
      </w:r>
      <w:r w:rsidRPr="00EA2692">
        <w:rPr>
          <w:rFonts w:eastAsia="Times New Roman" w:cstheme="minorHAnsi"/>
          <w:color w:val="auto"/>
          <w:sz w:val="24"/>
          <w:szCs w:val="24"/>
        </w:rPr>
        <w:t>Life Course Perspective (LCP) offers a way of looking at an individual’s health over their life span, not as disconnected stages (infancy, latency, adolescence, childbearing years)</w:t>
      </w:r>
      <w:r w:rsidRPr="00EA2692">
        <w:rPr>
          <w:rFonts w:eastAsia="Times New Roman" w:cstheme="minorHAnsi"/>
          <w:b/>
          <w:color w:val="auto"/>
          <w:sz w:val="24"/>
          <w:szCs w:val="24"/>
        </w:rPr>
        <w:t xml:space="preserve"> </w:t>
      </w:r>
      <w:r w:rsidRPr="00EA2692">
        <w:rPr>
          <w:rFonts w:eastAsia="Times New Roman" w:cstheme="minorHAnsi"/>
          <w:color w:val="auto"/>
          <w:sz w:val="24"/>
          <w:szCs w:val="24"/>
        </w:rPr>
        <w:t>unrelated to each other, but as an integrated whole.  It suggests that a complex interplay of biological, behavioral, psychological, social, and environmental factors contribute to health outcomes across the span of a person’s life and builds on recent social science and public health literature that suggests that each life stage influences the next.</w:t>
      </w:r>
    </w:p>
    <w:p w14:paraId="4F48BF7D"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Legal electronic signature:</w:t>
      </w:r>
      <w:r w:rsidRPr="00EA2692">
        <w:rPr>
          <w:rFonts w:eastAsia="Times New Roman" w:cstheme="minorHAnsi"/>
          <w:color w:val="auto"/>
          <w:sz w:val="24"/>
          <w:szCs w:val="24"/>
        </w:rPr>
        <w:t xml:space="preserve">  This is an original signature that was made digital by means of scanning a signed original document into a PDF version, or by inserting a scanned original signature into the section of the document in which it is required.  A legal electronic signature is required on electronically submitted contract proposals, invoices, or amendment request letters for the contract.  </w:t>
      </w:r>
    </w:p>
    <w:p w14:paraId="34E6FA0C" w14:textId="79C1224A"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Match funding:</w:t>
      </w:r>
      <w:r w:rsidRPr="00EA2692">
        <w:rPr>
          <w:rFonts w:eastAsia="Times New Roman" w:cstheme="minorHAnsi"/>
          <w:color w:val="auto"/>
          <w:sz w:val="24"/>
          <w:szCs w:val="24"/>
        </w:rPr>
        <w:t xml:space="preserve">  In order to receive federal Maternal and Child Health Services Title V Block Grant funds, the State of Missouri must match three non-federal dollars for every four federal dollars expended.  The Department is not requiring a fixed amount of match; however, it is asking for a commitment from each LPHA to make a good faith effort to help the state meet this obligation by reporting the local dollars spent on the MCH population.  Reporting of local match dollars may be funds from any non-federal source and should be clearly documented as efforts being made to improve the health of the MCH population.  Any funds identified as match dollars may not be used as match for another funding source or reimbursed by other means.  Match local funds expenditures may include the following:</w:t>
      </w:r>
    </w:p>
    <w:p w14:paraId="1C137DD2" w14:textId="77777777" w:rsidR="00411275" w:rsidRPr="00EA2692" w:rsidRDefault="00411275" w:rsidP="00411275">
      <w:pPr>
        <w:numPr>
          <w:ilvl w:val="1"/>
          <w:numId w:val="11"/>
        </w:numPr>
        <w:tabs>
          <w:tab w:val="left" w:pos="720"/>
        </w:tabs>
        <w:rPr>
          <w:rFonts w:eastAsia="Times New Roman" w:cstheme="minorHAnsi"/>
          <w:color w:val="auto"/>
          <w:sz w:val="24"/>
          <w:szCs w:val="24"/>
        </w:rPr>
      </w:pPr>
      <w:r w:rsidRPr="00EA2692">
        <w:rPr>
          <w:rFonts w:eastAsia="Times New Roman" w:cstheme="minorHAnsi"/>
          <w:color w:val="auto"/>
          <w:sz w:val="24"/>
          <w:szCs w:val="24"/>
        </w:rPr>
        <w:t>Personnel salary costs</w:t>
      </w:r>
    </w:p>
    <w:p w14:paraId="32CEA480" w14:textId="2671B635" w:rsidR="00411275" w:rsidRPr="00EA2692" w:rsidRDefault="00411275" w:rsidP="00411275">
      <w:pPr>
        <w:numPr>
          <w:ilvl w:val="1"/>
          <w:numId w:val="11"/>
        </w:numPr>
        <w:tabs>
          <w:tab w:val="left" w:pos="720"/>
        </w:tabs>
        <w:rPr>
          <w:rFonts w:eastAsia="Times New Roman" w:cstheme="minorHAnsi"/>
          <w:color w:val="auto"/>
          <w:sz w:val="24"/>
          <w:szCs w:val="24"/>
        </w:rPr>
      </w:pPr>
      <w:r w:rsidRPr="00EA2692">
        <w:rPr>
          <w:rFonts w:eastAsia="Times New Roman" w:cstheme="minorHAnsi"/>
          <w:color w:val="auto"/>
          <w:sz w:val="24"/>
          <w:szCs w:val="24"/>
        </w:rPr>
        <w:t>Fringe benefits paid to employees.</w:t>
      </w:r>
    </w:p>
    <w:p w14:paraId="3C8999B8" w14:textId="208DB077" w:rsidR="00411275" w:rsidRPr="00EA2692" w:rsidRDefault="00411275" w:rsidP="00411275">
      <w:pPr>
        <w:numPr>
          <w:ilvl w:val="1"/>
          <w:numId w:val="11"/>
        </w:numPr>
        <w:tabs>
          <w:tab w:val="left" w:pos="720"/>
        </w:tabs>
        <w:rPr>
          <w:rFonts w:eastAsia="Times New Roman" w:cstheme="minorHAnsi"/>
          <w:color w:val="auto"/>
          <w:sz w:val="24"/>
          <w:szCs w:val="24"/>
        </w:rPr>
      </w:pPr>
      <w:r w:rsidRPr="00EA2692">
        <w:rPr>
          <w:rFonts w:eastAsia="Times New Roman" w:cstheme="minorHAnsi"/>
          <w:color w:val="auto"/>
          <w:sz w:val="24"/>
          <w:szCs w:val="24"/>
        </w:rPr>
        <w:t>Travel expenses, such as mileage, meals, and lodging for attendance at professional development related to the maternal and child health population.</w:t>
      </w:r>
    </w:p>
    <w:p w14:paraId="05DAEBCF" w14:textId="7A8E2F48" w:rsidR="00411275" w:rsidRPr="00EA2692" w:rsidRDefault="00411275" w:rsidP="00411275">
      <w:pPr>
        <w:numPr>
          <w:ilvl w:val="1"/>
          <w:numId w:val="11"/>
        </w:numPr>
        <w:tabs>
          <w:tab w:val="left" w:pos="720"/>
        </w:tabs>
        <w:rPr>
          <w:rFonts w:eastAsia="Times New Roman" w:cstheme="minorHAnsi"/>
          <w:color w:val="auto"/>
          <w:sz w:val="24"/>
          <w:szCs w:val="24"/>
        </w:rPr>
      </w:pPr>
      <w:r w:rsidRPr="00EA2692">
        <w:rPr>
          <w:rFonts w:eastAsia="Times New Roman" w:cstheme="minorHAnsi"/>
          <w:color w:val="auto"/>
          <w:sz w:val="24"/>
          <w:szCs w:val="24"/>
        </w:rPr>
        <w:lastRenderedPageBreak/>
        <w:t>Purchase of equipment, excluding the purchase of major medical equipment, may include such items as audio-visual equipment, examination equipment, or other equipment purchased with local funds and used to support the maternal and child health population.</w:t>
      </w:r>
    </w:p>
    <w:p w14:paraId="3A950E03" w14:textId="4CE18963" w:rsidR="00411275" w:rsidRPr="00EA2692" w:rsidRDefault="00411275" w:rsidP="00411275">
      <w:pPr>
        <w:numPr>
          <w:ilvl w:val="1"/>
          <w:numId w:val="11"/>
        </w:numPr>
        <w:tabs>
          <w:tab w:val="left" w:pos="720"/>
        </w:tabs>
        <w:rPr>
          <w:rFonts w:eastAsia="Times New Roman" w:cstheme="minorHAnsi"/>
          <w:color w:val="auto"/>
          <w:sz w:val="24"/>
          <w:szCs w:val="24"/>
        </w:rPr>
      </w:pPr>
      <w:r w:rsidRPr="00EA2692">
        <w:rPr>
          <w:rFonts w:eastAsia="Times New Roman" w:cstheme="minorHAnsi"/>
          <w:color w:val="auto"/>
          <w:sz w:val="24"/>
          <w:szCs w:val="24"/>
        </w:rPr>
        <w:t>Purchase of supplies, including office supplies and any materials purchased specifically for work with the maternal and child health population.</w:t>
      </w:r>
    </w:p>
    <w:p w14:paraId="03474A35" w14:textId="1128A559" w:rsidR="00411275" w:rsidRPr="00EA2692" w:rsidRDefault="00411275" w:rsidP="00411275">
      <w:pPr>
        <w:numPr>
          <w:ilvl w:val="1"/>
          <w:numId w:val="11"/>
        </w:numPr>
        <w:tabs>
          <w:tab w:val="left" w:pos="720"/>
        </w:tabs>
        <w:rPr>
          <w:rFonts w:eastAsia="Times New Roman" w:cstheme="minorHAnsi"/>
          <w:color w:val="auto"/>
          <w:sz w:val="24"/>
          <w:szCs w:val="24"/>
        </w:rPr>
      </w:pPr>
      <w:r w:rsidRPr="00EA2692">
        <w:rPr>
          <w:rFonts w:eastAsia="Times New Roman" w:cstheme="minorHAnsi"/>
          <w:color w:val="auto"/>
          <w:sz w:val="24"/>
          <w:szCs w:val="24"/>
        </w:rPr>
        <w:t>Expenditures which exceeded contract funding and could not be applied to other sections.</w:t>
      </w:r>
    </w:p>
    <w:p w14:paraId="60F680CF"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 xml:space="preserve">Maternal and child health (MCH) activities:  </w:t>
      </w:r>
      <w:r w:rsidRPr="00EA2692">
        <w:rPr>
          <w:rFonts w:eastAsia="Times New Roman" w:cstheme="minorHAnsi"/>
          <w:color w:val="auto"/>
          <w:sz w:val="24"/>
          <w:szCs w:val="24"/>
        </w:rPr>
        <w:t>Any combination of direct health care services, enabling services, population-based services, and infrastructure or resource building activities directed to improving the health of women of child-bearing age, pregnant women, mothers, infants, children, and adolescents; including those with special health care needs.</w:t>
      </w:r>
    </w:p>
    <w:p w14:paraId="6BB86FD2"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Maternal and child health (MCH) issues:</w:t>
      </w:r>
      <w:r w:rsidRPr="00EA2692">
        <w:rPr>
          <w:rFonts w:eastAsia="Times New Roman" w:cstheme="minorHAnsi"/>
          <w:color w:val="auto"/>
          <w:sz w:val="24"/>
          <w:szCs w:val="24"/>
        </w:rPr>
        <w:t xml:space="preserve">  Issues related to protecting, promoting, and improving the health of women of childbearing age, pregnant women, mothers, infants, children, and adolescents; including those with special health care needs.</w:t>
      </w:r>
    </w:p>
    <w:p w14:paraId="1DA6CE57"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 xml:space="preserve">Maternal and child health (MCH) population:  </w:t>
      </w:r>
      <w:r w:rsidRPr="00EA2692">
        <w:rPr>
          <w:rFonts w:eastAsia="Times New Roman" w:cstheme="minorHAnsi"/>
          <w:color w:val="auto"/>
          <w:sz w:val="24"/>
          <w:szCs w:val="24"/>
        </w:rPr>
        <w:t>Population that encompasses or influences target subpopulations of women of childbearing age, pregnant women, mothers, infants, children, and adolescents; including those with special health care needs.</w:t>
      </w:r>
    </w:p>
    <w:p w14:paraId="2346AD9C"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 xml:space="preserve">Modified Total Direct Cost (MTDC):  </w:t>
      </w:r>
      <w:r w:rsidRPr="00EA2692">
        <w:rPr>
          <w:rFonts w:eastAsia="Times New Roman" w:cstheme="minorHAnsi"/>
          <w:color w:val="auto"/>
          <w:sz w:val="24"/>
          <w:szCs w:val="24"/>
        </w:rPr>
        <w:t xml:space="preserve">Means all direct salaries and wages, applicable fringe benefits, materials and supplies, services, travel, and sub awards and subcontracts up to the first $25,000 of each sub award or subcontract (regardless of the period of performance of the sub awards and subcontracts under the award).  MTDC excludes equipment, capital expenditures, charges for patient care, rental costs, tuition remission, scholarships and fellowships, participant support costs, and the portion of each sub award and subcontract </w:t>
      </w:r>
      <w:proofErr w:type="gramStart"/>
      <w:r w:rsidRPr="00EA2692">
        <w:rPr>
          <w:rFonts w:eastAsia="Times New Roman" w:cstheme="minorHAnsi"/>
          <w:color w:val="auto"/>
          <w:sz w:val="24"/>
          <w:szCs w:val="24"/>
        </w:rPr>
        <w:t>in excess of</w:t>
      </w:r>
      <w:proofErr w:type="gramEnd"/>
      <w:r w:rsidRPr="00EA2692">
        <w:rPr>
          <w:rFonts w:eastAsia="Times New Roman" w:cstheme="minorHAnsi"/>
          <w:color w:val="auto"/>
          <w:sz w:val="24"/>
          <w:szCs w:val="24"/>
        </w:rPr>
        <w:t xml:space="preserve"> $25,000.  Other items may only be excluded when necessary to avoid a serious inequity in the distribution of indirect costs, and with the approval of the cognizant agency for indirect costs.</w:t>
      </w:r>
    </w:p>
    <w:p w14:paraId="697EF084"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Outcome:</w:t>
      </w:r>
      <w:r w:rsidRPr="00EA2692">
        <w:rPr>
          <w:rFonts w:eastAsia="Times New Roman" w:cstheme="minorHAnsi"/>
          <w:color w:val="auto"/>
          <w:sz w:val="24"/>
          <w:szCs w:val="24"/>
        </w:rPr>
        <w:t xml:space="preserve">  Something that happens </w:t>
      </w:r>
      <w:proofErr w:type="gramStart"/>
      <w:r w:rsidRPr="00EA2692">
        <w:rPr>
          <w:rFonts w:eastAsia="Times New Roman" w:cstheme="minorHAnsi"/>
          <w:color w:val="auto"/>
          <w:sz w:val="24"/>
          <w:szCs w:val="24"/>
        </w:rPr>
        <w:t>as a result of</w:t>
      </w:r>
      <w:proofErr w:type="gramEnd"/>
      <w:r w:rsidRPr="00EA2692">
        <w:rPr>
          <w:rFonts w:eastAsia="Times New Roman" w:cstheme="minorHAnsi"/>
          <w:color w:val="auto"/>
          <w:sz w:val="24"/>
          <w:szCs w:val="24"/>
        </w:rPr>
        <w:t xml:space="preserve"> an activity or process, and includes appropriate criteria in assessment, activities, and evaluation in measures of achievement.</w:t>
      </w:r>
    </w:p>
    <w:p w14:paraId="45DDF6A8"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 xml:space="preserve">Overweight/obese adults:  </w:t>
      </w:r>
      <w:r w:rsidRPr="00EA2692">
        <w:rPr>
          <w:rFonts w:eastAsia="Times New Roman" w:cstheme="minorHAnsi"/>
          <w:color w:val="auto"/>
          <w:sz w:val="24"/>
          <w:szCs w:val="24"/>
        </w:rPr>
        <w:t>For adults, overweight and obesity ranges are determined by using weight and height to calculate a number called the “body mass index” (BMI).  An adult who has a BMI between 25 and 29.9 is considered overweight.  An adult who has a BMI of 30 or higher is considered obese.  BMI is</w:t>
      </w:r>
    </w:p>
    <w:p w14:paraId="6F4C6AC9" w14:textId="77777777" w:rsidR="00411275" w:rsidRPr="00EA2692" w:rsidRDefault="00411275" w:rsidP="00411275">
      <w:pPr>
        <w:tabs>
          <w:tab w:val="left" w:pos="720"/>
        </w:tabs>
        <w:ind w:left="720"/>
        <w:contextualSpacing/>
        <w:rPr>
          <w:rFonts w:eastAsia="Times New Roman" w:cstheme="minorHAnsi"/>
          <w:color w:val="auto"/>
          <w:sz w:val="24"/>
          <w:szCs w:val="24"/>
        </w:rPr>
      </w:pPr>
      <w:r w:rsidRPr="00EA2692">
        <w:rPr>
          <w:rFonts w:eastAsia="Times New Roman" w:cstheme="minorHAnsi"/>
          <w:color w:val="auto"/>
          <w:sz w:val="24"/>
          <w:szCs w:val="24"/>
        </w:rPr>
        <w:t>used because it correlates with the amount of body fat.  BMI does not directly measure body fat.  As a result, some people, such as athletes, may have a BMI that identifies them as overweight even though they do not have excess body fat.</w:t>
      </w:r>
    </w:p>
    <w:p w14:paraId="61A9A677" w14:textId="77777777" w:rsidR="00411275" w:rsidRPr="00EA2692" w:rsidRDefault="00411275" w:rsidP="00411275">
      <w:pPr>
        <w:numPr>
          <w:ilvl w:val="0"/>
          <w:numId w:val="10"/>
        </w:numPr>
        <w:tabs>
          <w:tab w:val="left" w:pos="720"/>
        </w:tabs>
        <w:spacing w:before="100" w:beforeAutospacing="1" w:after="100" w:afterAutospacing="1"/>
        <w:ind w:hanging="720"/>
        <w:contextualSpacing/>
        <w:rPr>
          <w:rFonts w:eastAsia="Times New Roman" w:cstheme="minorHAnsi"/>
          <w:color w:val="auto"/>
          <w:sz w:val="24"/>
          <w:szCs w:val="24"/>
        </w:rPr>
      </w:pPr>
      <w:r w:rsidRPr="00EA2692">
        <w:rPr>
          <w:rFonts w:eastAsia="Times New Roman" w:cstheme="minorHAnsi"/>
          <w:b/>
          <w:bCs/>
          <w:color w:val="auto"/>
          <w:sz w:val="24"/>
          <w:szCs w:val="24"/>
        </w:rPr>
        <w:t>Overweight/at-risk of overweight children/teens:</w:t>
      </w:r>
      <w:r w:rsidRPr="00EA2692">
        <w:rPr>
          <w:rFonts w:eastAsia="Times New Roman" w:cstheme="minorHAnsi"/>
          <w:color w:val="auto"/>
          <w:sz w:val="24"/>
          <w:szCs w:val="24"/>
        </w:rPr>
        <w:t xml:space="preserve">  Body mass index (BMI) is a measure used to determine childhood overweight and obesity. Overweight is defined as a BMI at or above the 85</w:t>
      </w:r>
      <w:r w:rsidRPr="00EA2692">
        <w:rPr>
          <w:rFonts w:eastAsia="Times New Roman" w:cstheme="minorHAnsi"/>
          <w:color w:val="auto"/>
          <w:sz w:val="24"/>
          <w:szCs w:val="24"/>
          <w:vertAlign w:val="superscript"/>
        </w:rPr>
        <w:t>th</w:t>
      </w:r>
      <w:r w:rsidRPr="00EA2692">
        <w:rPr>
          <w:rFonts w:eastAsia="Times New Roman" w:cstheme="minorHAnsi"/>
          <w:color w:val="auto"/>
          <w:sz w:val="24"/>
          <w:szCs w:val="24"/>
        </w:rPr>
        <w:t xml:space="preserve"> percentile and below the 95</w:t>
      </w:r>
      <w:r w:rsidRPr="00EA2692">
        <w:rPr>
          <w:rFonts w:eastAsia="Times New Roman" w:cstheme="minorHAnsi"/>
          <w:color w:val="auto"/>
          <w:sz w:val="24"/>
          <w:szCs w:val="24"/>
          <w:vertAlign w:val="superscript"/>
        </w:rPr>
        <w:t>th</w:t>
      </w:r>
      <w:r w:rsidRPr="00EA2692">
        <w:rPr>
          <w:rFonts w:eastAsia="Times New Roman" w:cstheme="minorHAnsi"/>
          <w:color w:val="auto"/>
          <w:sz w:val="24"/>
          <w:szCs w:val="24"/>
        </w:rPr>
        <w:t xml:space="preserve"> percentile for </w:t>
      </w:r>
      <w:r w:rsidRPr="00EA2692">
        <w:rPr>
          <w:rFonts w:eastAsia="Times New Roman" w:cstheme="minorHAnsi"/>
          <w:color w:val="auto"/>
          <w:sz w:val="24"/>
          <w:szCs w:val="24"/>
        </w:rPr>
        <w:lastRenderedPageBreak/>
        <w:t>children and teens of the same age and sex. Obesity is defined as a BMI at or above the 95th percentile for children and teens of the same age and sex.</w:t>
      </w:r>
    </w:p>
    <w:p w14:paraId="44641067" w14:textId="77777777" w:rsidR="00411275" w:rsidRPr="00EA2692" w:rsidRDefault="00411275" w:rsidP="00411275">
      <w:pPr>
        <w:spacing w:before="100" w:beforeAutospacing="1" w:after="100" w:afterAutospacing="1"/>
        <w:ind w:left="720"/>
        <w:contextualSpacing/>
        <w:rPr>
          <w:rFonts w:eastAsia="Times New Roman" w:cstheme="minorHAnsi"/>
          <w:color w:val="auto"/>
          <w:sz w:val="24"/>
          <w:szCs w:val="24"/>
        </w:rPr>
      </w:pPr>
      <w:r w:rsidRPr="00EA2692">
        <w:rPr>
          <w:rFonts w:eastAsia="Times New Roman" w:cstheme="minorHAnsi"/>
          <w:color w:val="auto"/>
          <w:sz w:val="24"/>
          <w:szCs w:val="24"/>
        </w:rPr>
        <w:t>BMI is calculated by dividing a person’s weight in kilograms by the square of height in meters. For children and teens, BMI is age- and sex-specific and is often referred to as BMI-for-age. A child’s weight status is determined using an age- and sex-specific percentile for BMI rather than the BMI categories used for adults. This is because children’s body composition varies as they age and varies between boys and girls. Therefore, BMI levels among children and teens need to be expressed relative to other children of the same age and sex.</w:t>
      </w:r>
    </w:p>
    <w:p w14:paraId="4DD60BD8" w14:textId="77777777" w:rsidR="00411275" w:rsidRPr="00EA2692" w:rsidRDefault="00411275" w:rsidP="00411275">
      <w:pPr>
        <w:spacing w:before="100" w:beforeAutospacing="1" w:after="100" w:afterAutospacing="1"/>
        <w:ind w:left="720"/>
        <w:contextualSpacing/>
        <w:rPr>
          <w:rFonts w:eastAsia="Times New Roman" w:cstheme="minorHAnsi"/>
          <w:color w:val="auto"/>
          <w:sz w:val="24"/>
          <w:szCs w:val="24"/>
        </w:rPr>
      </w:pPr>
      <w:r w:rsidRPr="00EA2692">
        <w:rPr>
          <w:rFonts w:eastAsia="Times New Roman" w:cstheme="minorHAnsi"/>
          <w:color w:val="auto"/>
          <w:sz w:val="24"/>
          <w:szCs w:val="24"/>
        </w:rPr>
        <w:t>For example, a 10-year-old boy of average height (56 inches) who weighs 102 pounds would have a BMI of 22.9 kg/m</w:t>
      </w:r>
      <w:r w:rsidRPr="00EA2692">
        <w:rPr>
          <w:rFonts w:eastAsia="Times New Roman" w:cstheme="minorHAnsi"/>
          <w:color w:val="auto"/>
          <w:sz w:val="24"/>
          <w:szCs w:val="24"/>
          <w:vertAlign w:val="superscript"/>
        </w:rPr>
        <w:t>2</w:t>
      </w:r>
      <w:r w:rsidRPr="00EA2692">
        <w:rPr>
          <w:rFonts w:eastAsia="Times New Roman" w:cstheme="minorHAnsi"/>
          <w:color w:val="auto"/>
          <w:sz w:val="24"/>
          <w:szCs w:val="24"/>
        </w:rPr>
        <w:t>. This would place the boy in the 95</w:t>
      </w:r>
      <w:r w:rsidRPr="00EA2692">
        <w:rPr>
          <w:rFonts w:eastAsia="Times New Roman" w:cstheme="minorHAnsi"/>
          <w:color w:val="auto"/>
          <w:sz w:val="24"/>
          <w:szCs w:val="24"/>
          <w:vertAlign w:val="superscript"/>
        </w:rPr>
        <w:t>th</w:t>
      </w:r>
      <w:r w:rsidRPr="00EA2692">
        <w:rPr>
          <w:rFonts w:eastAsia="Times New Roman" w:cstheme="minorHAnsi"/>
          <w:color w:val="auto"/>
          <w:sz w:val="24"/>
          <w:szCs w:val="24"/>
        </w:rPr>
        <w:t xml:space="preserve"> percentile for BMI, and he would be considered as obese. This means that the child’s BMI is greater than the BMI of 95% of 10-year-old boys in the reference population.  The CDC Growth Charts are the </w:t>
      </w:r>
      <w:proofErr w:type="gramStart"/>
      <w:r w:rsidRPr="00EA2692">
        <w:rPr>
          <w:rFonts w:eastAsia="Times New Roman" w:cstheme="minorHAnsi"/>
          <w:color w:val="auto"/>
          <w:sz w:val="24"/>
          <w:szCs w:val="24"/>
        </w:rPr>
        <w:t>most commonly used</w:t>
      </w:r>
      <w:proofErr w:type="gramEnd"/>
      <w:r w:rsidRPr="00EA2692">
        <w:rPr>
          <w:rFonts w:eastAsia="Times New Roman" w:cstheme="minorHAnsi"/>
          <w:color w:val="auto"/>
          <w:sz w:val="24"/>
          <w:szCs w:val="24"/>
        </w:rPr>
        <w:t xml:space="preserve"> indicator to measure the size and growth patterns of children and teens in the United States.</w:t>
      </w:r>
    </w:p>
    <w:p w14:paraId="35C51B4D" w14:textId="58C37154" w:rsidR="0099538B" w:rsidRPr="00EA2692" w:rsidRDefault="00411275" w:rsidP="0099538B">
      <w:pPr>
        <w:tabs>
          <w:tab w:val="left" w:pos="720"/>
        </w:tabs>
        <w:ind w:left="720"/>
        <w:contextualSpacing/>
        <w:rPr>
          <w:rFonts w:eastAsia="Times New Roman" w:cstheme="minorHAnsi"/>
          <w:color w:val="auto"/>
          <w:sz w:val="24"/>
          <w:szCs w:val="24"/>
          <w:u w:val="single"/>
        </w:rPr>
      </w:pPr>
      <w:r w:rsidRPr="00EA2692">
        <w:rPr>
          <w:rFonts w:eastAsia="Times New Roman" w:cstheme="minorHAnsi"/>
          <w:i/>
          <w:color w:val="auto"/>
          <w:sz w:val="24"/>
          <w:szCs w:val="24"/>
        </w:rPr>
        <w:t xml:space="preserve">Source:  </w:t>
      </w:r>
      <w:hyperlink r:id="rId10" w:history="1">
        <w:r w:rsidR="0099538B" w:rsidRPr="00EA2692">
          <w:rPr>
            <w:rStyle w:val="Hyperlink"/>
            <w:rFonts w:eastAsia="Times New Roman" w:cstheme="minorHAnsi"/>
            <w:sz w:val="24"/>
            <w:szCs w:val="24"/>
          </w:rPr>
          <w:t>https://www.cdc.gov/obesity/childhood/defining.html</w:t>
        </w:r>
      </w:hyperlink>
    </w:p>
    <w:p w14:paraId="057F963C" w14:textId="6D763EB8" w:rsidR="0099538B" w:rsidRPr="00EA2692" w:rsidRDefault="0099538B"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 xml:space="preserve">Person-centered, strengths-based </w:t>
      </w:r>
      <w:proofErr w:type="gramStart"/>
      <w:r w:rsidRPr="00EA2692">
        <w:rPr>
          <w:rFonts w:eastAsia="Times New Roman" w:cstheme="minorHAnsi"/>
          <w:b/>
          <w:bCs/>
          <w:color w:val="auto"/>
          <w:sz w:val="24"/>
          <w:szCs w:val="24"/>
        </w:rPr>
        <w:t>approach:</w:t>
      </w:r>
      <w:proofErr w:type="gramEnd"/>
      <w:r w:rsidRPr="00EA2692">
        <w:rPr>
          <w:rFonts w:eastAsia="Times New Roman" w:cstheme="minorHAnsi"/>
          <w:b/>
          <w:bCs/>
          <w:color w:val="auto"/>
          <w:sz w:val="24"/>
          <w:szCs w:val="24"/>
        </w:rPr>
        <w:t xml:space="preserve">  </w:t>
      </w:r>
      <w:r w:rsidRPr="00EA2692">
        <w:rPr>
          <w:rFonts w:eastAsia="Times New Roman" w:cstheme="minorHAnsi"/>
          <w:color w:val="auto"/>
          <w:sz w:val="24"/>
          <w:szCs w:val="24"/>
        </w:rPr>
        <w:t>focuses on an individual’s unique qualities, strengths, and aspirations, rather than their deficits of problems, viewing the individual as the expert on their own life and experiences.  Aims to empower individuals by building on their existing strengths to achieve their goals.</w:t>
      </w:r>
    </w:p>
    <w:p w14:paraId="0A961145" w14:textId="5CDF81B3"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Perinatal mortality:</w:t>
      </w:r>
      <w:r w:rsidRPr="00EA2692">
        <w:rPr>
          <w:rFonts w:eastAsia="Times New Roman" w:cstheme="minorHAnsi"/>
          <w:color w:val="auto"/>
          <w:sz w:val="24"/>
          <w:szCs w:val="24"/>
        </w:rPr>
        <w:t xml:space="preserve">  Death around the time of delivery and includes both fetal deaths (at least 20 weeks of gestation) and early infant (neonatal) deaths under age 28 days. </w:t>
      </w:r>
    </w:p>
    <w:p w14:paraId="36BF6F4C" w14:textId="59DA76C6" w:rsidR="00CC5ADB" w:rsidRPr="00EA2692" w:rsidRDefault="00CC5ADB"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Population Domains for MCH:</w:t>
      </w:r>
      <w:r w:rsidRPr="00EA2692">
        <w:rPr>
          <w:rFonts w:eastAsia="Times New Roman" w:cstheme="minorHAnsi"/>
          <w:color w:val="auto"/>
          <w:sz w:val="24"/>
          <w:szCs w:val="24"/>
        </w:rPr>
        <w:t xml:space="preserve">  Women/Maternal Health, Perinatal/Infant Health, Child Health, Adolescent Health, Children and Youth with Special Health Care Needs (CYSHCN)</w:t>
      </w:r>
    </w:p>
    <w:p w14:paraId="3A213598"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Preconception care:</w:t>
      </w:r>
      <w:r w:rsidRPr="00EA2692">
        <w:rPr>
          <w:rFonts w:eastAsia="Times New Roman" w:cstheme="minorHAnsi"/>
          <w:color w:val="auto"/>
          <w:sz w:val="24"/>
          <w:szCs w:val="24"/>
        </w:rPr>
        <w:t xml:space="preserve">  A set of interventions that aim to identify and modify biomedical, behavioral, and social risks to a woman’s health or pregnancy outcome through prevention and management.</w:t>
      </w:r>
    </w:p>
    <w:p w14:paraId="2711E488"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Preconception health:</w:t>
      </w:r>
      <w:r w:rsidRPr="00EA2692">
        <w:rPr>
          <w:rFonts w:eastAsia="Times New Roman" w:cstheme="minorHAnsi"/>
          <w:color w:val="auto"/>
          <w:sz w:val="24"/>
          <w:szCs w:val="24"/>
        </w:rPr>
        <w:t xml:space="preserve">  Preconception health is a woman’s health before she becomes pregnant.  It focuses on the conditions and risk factors that could affect a woman if she becomes pregnant.  Preconception health applies to women who have never been pregnant, and to women who could become pregnant again. Preconception health looks at factors that can affect a fetus or infant.  These include factors such as taking prescription drugs or drinking alcohol.  The key to promoting preconception health is to combine the best medical care, healthy behaviors, strong support, and safe environments at home and at work. </w:t>
      </w:r>
    </w:p>
    <w:p w14:paraId="747906DA"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Premature/Preterm infant</w:t>
      </w:r>
      <w:r w:rsidRPr="00EA2692">
        <w:rPr>
          <w:rFonts w:eastAsia="Times New Roman" w:cstheme="minorHAnsi"/>
          <w:color w:val="auto"/>
          <w:sz w:val="24"/>
          <w:szCs w:val="24"/>
        </w:rPr>
        <w:t>:  An infant born alive before 39 weeks gestation.</w:t>
      </w:r>
    </w:p>
    <w:p w14:paraId="6208C40B"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Preventive services:</w:t>
      </w:r>
      <w:r w:rsidRPr="00EA2692">
        <w:rPr>
          <w:rFonts w:eastAsia="Times New Roman" w:cstheme="minorHAnsi"/>
          <w:color w:val="auto"/>
          <w:sz w:val="24"/>
          <w:szCs w:val="24"/>
        </w:rPr>
        <w:t xml:space="preserve">  Activities aimed at reducing the incidence of health problems or disease prevalence in the community, or the personal risk factors for such diseases or conditions.</w:t>
      </w:r>
    </w:p>
    <w:p w14:paraId="0555B4BD" w14:textId="4A91D564"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 xml:space="preserve">Protective factors:  </w:t>
      </w:r>
      <w:r w:rsidRPr="00EA2692">
        <w:rPr>
          <w:rFonts w:eastAsia="Times New Roman" w:cstheme="minorHAnsi"/>
          <w:color w:val="auto"/>
          <w:sz w:val="24"/>
          <w:szCs w:val="24"/>
        </w:rPr>
        <w:t xml:space="preserve">Conditions in families and communities that, when present, increase the health and well-being of children and families.  They are attributes that serve as buffers or coping strategies that strengthen all families and communities.  </w:t>
      </w:r>
    </w:p>
    <w:p w14:paraId="440368DD" w14:textId="57B42F26"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lastRenderedPageBreak/>
        <w:t>Risk factors</w:t>
      </w:r>
      <w:r w:rsidRPr="00EA2692">
        <w:rPr>
          <w:rFonts w:eastAsia="Times New Roman" w:cstheme="minorHAnsi"/>
          <w:b/>
          <w:color w:val="auto"/>
          <w:sz w:val="24"/>
          <w:szCs w:val="24"/>
        </w:rPr>
        <w:t xml:space="preserve">:  </w:t>
      </w:r>
      <w:r w:rsidRPr="00EA2692">
        <w:rPr>
          <w:rFonts w:eastAsia="Times New Roman" w:cstheme="minorHAnsi"/>
          <w:color w:val="auto"/>
          <w:sz w:val="24"/>
          <w:szCs w:val="24"/>
        </w:rPr>
        <w:t xml:space="preserve">Characteristics, variables and/or conditions present in individuals or groups that increase the likelihood of that individual or group developing a disorder or adverse outcome.  </w:t>
      </w:r>
      <w:proofErr w:type="gramStart"/>
      <w:r w:rsidRPr="00EA2692">
        <w:rPr>
          <w:rFonts w:eastAsia="Times New Roman" w:cstheme="minorHAnsi"/>
          <w:color w:val="auto"/>
          <w:sz w:val="24"/>
          <w:szCs w:val="24"/>
        </w:rPr>
        <w:t>A number of</w:t>
      </w:r>
      <w:proofErr w:type="gramEnd"/>
      <w:r w:rsidRPr="00EA2692">
        <w:rPr>
          <w:rFonts w:eastAsia="Times New Roman" w:cstheme="minorHAnsi"/>
          <w:color w:val="auto"/>
          <w:sz w:val="24"/>
          <w:szCs w:val="24"/>
        </w:rPr>
        <w:t xml:space="preserve"> social-emotional factors, social norms, and peer practices are identified as risk factors for harmful health practices.  </w:t>
      </w:r>
    </w:p>
    <w:p w14:paraId="51DAB496"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Service coordination:</w:t>
      </w:r>
      <w:r w:rsidRPr="00EA2692">
        <w:rPr>
          <w:rFonts w:eastAsia="Times New Roman" w:cstheme="minorHAnsi"/>
          <w:color w:val="auto"/>
          <w:sz w:val="24"/>
          <w:szCs w:val="24"/>
        </w:rPr>
        <w:t xml:space="preserve">  A collaborative process that addresses the health needs of a population through identification, assessment, referral, assurance, education, and evaluation, using communications and available resources to promote quality and improved outcomes.</w:t>
      </w:r>
    </w:p>
    <w:p w14:paraId="3403BD00" w14:textId="77777777" w:rsidR="00411275" w:rsidRPr="00EA2692" w:rsidRDefault="00411275" w:rsidP="00411275">
      <w:pPr>
        <w:numPr>
          <w:ilvl w:val="0"/>
          <w:numId w:val="10"/>
        </w:numPr>
        <w:tabs>
          <w:tab w:val="left" w:pos="720"/>
        </w:tabs>
        <w:ind w:hanging="720"/>
        <w:contextualSpacing/>
        <w:rPr>
          <w:rFonts w:eastAsia="Times New Roman" w:cstheme="minorHAnsi"/>
          <w:bCs/>
          <w:color w:val="auto"/>
          <w:sz w:val="24"/>
          <w:szCs w:val="24"/>
        </w:rPr>
      </w:pPr>
      <w:r w:rsidRPr="00EA2692">
        <w:rPr>
          <w:rFonts w:eastAsia="Times New Roman" w:cstheme="minorHAnsi"/>
          <w:b/>
          <w:bCs/>
          <w:color w:val="auto"/>
          <w:sz w:val="24"/>
          <w:szCs w:val="24"/>
        </w:rPr>
        <w:t xml:space="preserve">Spectrum of Prevention:  </w:t>
      </w:r>
      <w:r w:rsidRPr="00EA2692">
        <w:rPr>
          <w:rFonts w:eastAsia="Times New Roman" w:cstheme="minorHAnsi"/>
          <w:bCs/>
          <w:color w:val="auto"/>
          <w:sz w:val="24"/>
          <w:szCs w:val="24"/>
        </w:rPr>
        <w:t>The Spectrum of Prevention is a systematic tool that promotes a multifaceted range of activities for effective prevention.  The Spectrum identifies multiple levels of intervention and helps people move beyond the perception that prevention is merely education.  The Spectrum is a framework for a more comprehensive understanding of prevention that includes six levels for strategy development.  These levels are complementary, and when used together produce a synergy that results in greater effectiveness than would be possible by implementing any single activity or linear initiative.  At each level, the most important activities related to prevention objectives should be identified.  As these activities are identified, they will lead to interrelated actions at other levels of the Spectrum.</w:t>
      </w:r>
    </w:p>
    <w:p w14:paraId="0E767A00" w14:textId="77777777" w:rsidR="00411275" w:rsidRPr="00EA2692" w:rsidRDefault="00411275" w:rsidP="00411275">
      <w:pPr>
        <w:tabs>
          <w:tab w:val="left" w:pos="720"/>
        </w:tabs>
        <w:ind w:left="720"/>
        <w:contextualSpacing/>
        <w:rPr>
          <w:rFonts w:eastAsia="Times New Roman" w:cstheme="minorHAnsi"/>
          <w:bCs/>
          <w:color w:val="auto"/>
          <w:sz w:val="24"/>
          <w:szCs w:val="24"/>
        </w:rPr>
      </w:pPr>
      <w:r w:rsidRPr="00EA2692">
        <w:rPr>
          <w:rFonts w:eastAsia="Times New Roman" w:cstheme="minorHAnsi"/>
          <w:bCs/>
          <w:i/>
          <w:color w:val="auto"/>
          <w:sz w:val="24"/>
          <w:szCs w:val="24"/>
        </w:rPr>
        <w:t>Source:</w:t>
      </w:r>
      <w:r w:rsidRPr="00EA2692">
        <w:rPr>
          <w:rFonts w:eastAsia="Times New Roman" w:cstheme="minorHAnsi"/>
          <w:bCs/>
          <w:color w:val="auto"/>
          <w:sz w:val="24"/>
          <w:szCs w:val="24"/>
        </w:rPr>
        <w:t xml:space="preserve">  </w:t>
      </w:r>
      <w:hyperlink r:id="rId11" w:history="1">
        <w:r w:rsidRPr="00EA2692">
          <w:rPr>
            <w:rFonts w:eastAsia="Times New Roman" w:cstheme="minorHAnsi"/>
            <w:bCs/>
            <w:color w:val="auto"/>
            <w:sz w:val="24"/>
            <w:szCs w:val="24"/>
            <w:u w:val="single"/>
          </w:rPr>
          <w:t>www.preventioninstitute.org</w:t>
        </w:r>
      </w:hyperlink>
    </w:p>
    <w:p w14:paraId="72331309"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Strategy:</w:t>
      </w:r>
      <w:r w:rsidRPr="00EA2692">
        <w:rPr>
          <w:rFonts w:eastAsia="Times New Roman" w:cstheme="minorHAnsi"/>
          <w:color w:val="auto"/>
          <w:sz w:val="24"/>
          <w:szCs w:val="24"/>
        </w:rPr>
        <w:t xml:space="preserve">  A method or plan chosen to bring about a desired future, such as achievement of a goal or solution to a problem.  It includes identifying and arranging resources for their most efficient and effective use.  The process is a combination of the ends (goals) for which the organization is striving and the means (actions, policies) by which it is seeking to get there.</w:t>
      </w:r>
    </w:p>
    <w:p w14:paraId="2C6E3396" w14:textId="7A4DA151"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 xml:space="preserve">Subcontract:  </w:t>
      </w:r>
      <w:r w:rsidRPr="00EA2692">
        <w:rPr>
          <w:rFonts w:eastAsia="Times New Roman" w:cstheme="minorHAnsi"/>
          <w:color w:val="auto"/>
          <w:sz w:val="24"/>
          <w:szCs w:val="24"/>
        </w:rPr>
        <w:t>The contractor may subcontract funds to another agency for contract activities</w:t>
      </w:r>
      <w:r w:rsidR="00921EC1" w:rsidRPr="00EA2692">
        <w:rPr>
          <w:rFonts w:eastAsia="Times New Roman" w:cstheme="minorHAnsi"/>
          <w:color w:val="auto"/>
          <w:sz w:val="24"/>
          <w:szCs w:val="24"/>
        </w:rPr>
        <w:t>.</w:t>
      </w:r>
      <w:r w:rsidRPr="00EA2692">
        <w:rPr>
          <w:rFonts w:eastAsia="Times New Roman" w:cstheme="minorHAnsi"/>
          <w:color w:val="auto"/>
          <w:sz w:val="24"/>
          <w:szCs w:val="24"/>
        </w:rPr>
        <w:t xml:space="preserve"> </w:t>
      </w:r>
    </w:p>
    <w:p w14:paraId="1ABDC9F3"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Supplanting:</w:t>
      </w:r>
      <w:r w:rsidRPr="00EA2692">
        <w:rPr>
          <w:rFonts w:eastAsia="Times New Roman" w:cstheme="minorHAnsi"/>
          <w:color w:val="auto"/>
          <w:sz w:val="24"/>
          <w:szCs w:val="24"/>
        </w:rPr>
        <w:t xml:space="preserve">  Utilizing funds from the MCH Services contract to fund activities currently being funded from another local, state, or federal source.  However, the funding from this contract may be used to increase or expand MCH Services program activities.</w:t>
      </w:r>
    </w:p>
    <w:p w14:paraId="33833CFF" w14:textId="77777777" w:rsidR="00D77DAE"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 xml:space="preserve">Supplies:  </w:t>
      </w:r>
      <w:r w:rsidRPr="00EA2692">
        <w:rPr>
          <w:rFonts w:eastAsia="Times New Roman" w:cstheme="minorHAnsi"/>
          <w:color w:val="auto"/>
          <w:sz w:val="24"/>
          <w:szCs w:val="24"/>
        </w:rPr>
        <w:t xml:space="preserve">All tangible personal property other than those described in </w:t>
      </w:r>
    </w:p>
    <w:p w14:paraId="7DF93B8D" w14:textId="76327311"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Equipment.</w:t>
      </w:r>
      <w:r w:rsidRPr="00EA2692">
        <w:rPr>
          <w:rFonts w:eastAsia="Times New Roman" w:cstheme="minorHAnsi"/>
          <w:color w:val="auto"/>
          <w:sz w:val="24"/>
          <w:szCs w:val="24"/>
        </w:rPr>
        <w:t xml:space="preserve">  A computing device is a supply if the acquisition cost is less than $</w:t>
      </w:r>
      <w:r w:rsidR="00D77DAE" w:rsidRPr="00EA2692">
        <w:rPr>
          <w:rFonts w:eastAsia="Times New Roman" w:cstheme="minorHAnsi"/>
          <w:color w:val="auto"/>
          <w:sz w:val="24"/>
          <w:szCs w:val="24"/>
        </w:rPr>
        <w:t>10</w:t>
      </w:r>
      <w:r w:rsidRPr="00EA2692">
        <w:rPr>
          <w:rFonts w:eastAsia="Times New Roman" w:cstheme="minorHAnsi"/>
          <w:color w:val="auto"/>
          <w:sz w:val="24"/>
          <w:szCs w:val="24"/>
        </w:rPr>
        <w:t>,000, regardless of the length of its useful life.</w:t>
      </w:r>
    </w:p>
    <w:p w14:paraId="5D6E8CFA"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System:</w:t>
      </w:r>
      <w:r w:rsidRPr="00EA2692">
        <w:rPr>
          <w:rFonts w:eastAsia="Times New Roman" w:cstheme="minorHAnsi"/>
          <w:color w:val="auto"/>
          <w:sz w:val="24"/>
          <w:szCs w:val="24"/>
        </w:rPr>
        <w:t xml:space="preserve">  A perceived whole whose elements combine because they continually affect each other over time and operate toward a common purpose.</w:t>
      </w:r>
    </w:p>
    <w:p w14:paraId="75233D4A" w14:textId="550068E2"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color w:val="auto"/>
          <w:sz w:val="24"/>
          <w:szCs w:val="24"/>
        </w:rPr>
        <w:t xml:space="preserve">System </w:t>
      </w:r>
      <w:r w:rsidRPr="00EA2692">
        <w:rPr>
          <w:rFonts w:eastAsia="Times New Roman" w:cstheme="minorHAnsi"/>
          <w:b/>
          <w:bCs/>
          <w:color w:val="auto"/>
          <w:sz w:val="24"/>
          <w:szCs w:val="24"/>
        </w:rPr>
        <w:t>outcome(s):</w:t>
      </w:r>
      <w:r w:rsidRPr="00EA2692">
        <w:rPr>
          <w:rFonts w:eastAsia="Times New Roman" w:cstheme="minorHAnsi"/>
          <w:color w:val="auto"/>
          <w:sz w:val="24"/>
          <w:szCs w:val="24"/>
        </w:rPr>
        <w:t xml:space="preserve">  Benefits for participants or public following performance of the plan of work in a contract.  For the Maternal Child Health Services Contract this means measures of change for each level of the Spectrum of Prevention, due no later than September 30, 20</w:t>
      </w:r>
      <w:r w:rsidR="00D77DAE" w:rsidRPr="00EA2692">
        <w:rPr>
          <w:rFonts w:eastAsia="Times New Roman" w:cstheme="minorHAnsi"/>
          <w:color w:val="auto"/>
          <w:sz w:val="24"/>
          <w:szCs w:val="24"/>
        </w:rPr>
        <w:t>26</w:t>
      </w:r>
      <w:r w:rsidRPr="00EA2692">
        <w:rPr>
          <w:rFonts w:eastAsia="Times New Roman" w:cstheme="minorHAnsi"/>
          <w:color w:val="auto"/>
          <w:sz w:val="24"/>
          <w:szCs w:val="24"/>
        </w:rPr>
        <w:t>, as included in the approved work plan.  The system outcome(s) are a specific result that a contractor will commit to achieve within the contract period.  Attainment can be verified through documentation provided by the contractor at the end of the contract period.</w:t>
      </w:r>
    </w:p>
    <w:p w14:paraId="63F3445B" w14:textId="5BDB43BB" w:rsidR="00411275" w:rsidRPr="00EA2692" w:rsidRDefault="00411275" w:rsidP="00411275">
      <w:pPr>
        <w:numPr>
          <w:ilvl w:val="0"/>
          <w:numId w:val="10"/>
        </w:numPr>
        <w:ind w:hanging="720"/>
        <w:contextualSpacing/>
        <w:rPr>
          <w:rFonts w:eastAsia="Times New Roman" w:cstheme="minorHAnsi"/>
          <w:color w:val="auto"/>
          <w:sz w:val="24"/>
          <w:szCs w:val="24"/>
        </w:rPr>
      </w:pPr>
      <w:r w:rsidRPr="00EA2692">
        <w:rPr>
          <w:rFonts w:eastAsia="Times New Roman" w:cstheme="minorHAnsi"/>
          <w:b/>
          <w:bCs/>
          <w:color w:val="auto"/>
          <w:sz w:val="24"/>
          <w:szCs w:val="24"/>
        </w:rPr>
        <w:lastRenderedPageBreak/>
        <w:t xml:space="preserve">Tangible Person Property: </w:t>
      </w:r>
      <w:r w:rsidRPr="00EA2692">
        <w:rPr>
          <w:rFonts w:eastAsia="Times New Roman" w:cstheme="minorHAnsi"/>
          <w:color w:val="auto"/>
          <w:sz w:val="24"/>
          <w:szCs w:val="24"/>
        </w:rPr>
        <w:t>Any equipment purchased with MCH</w:t>
      </w:r>
      <w:r w:rsidR="00D77DAE" w:rsidRPr="00EA2692">
        <w:rPr>
          <w:rFonts w:eastAsia="Times New Roman" w:cstheme="minorHAnsi"/>
          <w:color w:val="auto"/>
          <w:sz w:val="24"/>
          <w:szCs w:val="24"/>
        </w:rPr>
        <w:t xml:space="preserve"> Services</w:t>
      </w:r>
      <w:r w:rsidRPr="00EA2692">
        <w:rPr>
          <w:rFonts w:eastAsia="Times New Roman" w:cstheme="minorHAnsi"/>
          <w:color w:val="auto"/>
          <w:sz w:val="24"/>
          <w:szCs w:val="24"/>
        </w:rPr>
        <w:t xml:space="preserve"> contract funding, defined as any single item that has a useful life of more than one year and has a purchase price that exceeds $</w:t>
      </w:r>
      <w:r w:rsidR="00D77DAE" w:rsidRPr="00EA2692">
        <w:rPr>
          <w:rFonts w:eastAsia="Times New Roman" w:cstheme="minorHAnsi"/>
          <w:color w:val="auto"/>
          <w:sz w:val="24"/>
          <w:szCs w:val="24"/>
        </w:rPr>
        <w:t>10</w:t>
      </w:r>
      <w:r w:rsidRPr="00EA2692">
        <w:rPr>
          <w:rFonts w:eastAsia="Times New Roman" w:cstheme="minorHAnsi"/>
          <w:color w:val="auto"/>
          <w:sz w:val="24"/>
          <w:szCs w:val="24"/>
        </w:rPr>
        <w:t>,000.</w:t>
      </w:r>
    </w:p>
    <w:p w14:paraId="0692364C"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Target population:</w:t>
      </w:r>
      <w:r w:rsidRPr="00EA2692">
        <w:rPr>
          <w:rFonts w:eastAsia="Times New Roman" w:cstheme="minorHAnsi"/>
          <w:color w:val="auto"/>
          <w:sz w:val="24"/>
          <w:szCs w:val="24"/>
        </w:rPr>
        <w:t xml:space="preserve">  People or entities that interact with an organization’s service coordination system.  This interaction is intended to result in a change in condition.</w:t>
      </w:r>
    </w:p>
    <w:p w14:paraId="3239AFEB" w14:textId="77777777" w:rsidR="00411275" w:rsidRPr="00EA2692" w:rsidRDefault="00411275" w:rsidP="00411275">
      <w:pPr>
        <w:tabs>
          <w:tab w:val="left" w:pos="720"/>
        </w:tabs>
        <w:ind w:left="720"/>
        <w:contextualSpacing/>
        <w:rPr>
          <w:rFonts w:eastAsia="Times New Roman" w:cstheme="minorHAnsi"/>
          <w:color w:val="auto"/>
          <w:sz w:val="24"/>
          <w:szCs w:val="24"/>
        </w:rPr>
      </w:pPr>
    </w:p>
    <w:p w14:paraId="6A1E8796" w14:textId="06F5FCAD" w:rsidR="00411275" w:rsidRPr="00EA2692" w:rsidRDefault="00D77DAE"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10</w:t>
      </w:r>
      <w:r w:rsidR="00411275" w:rsidRPr="00EA2692">
        <w:rPr>
          <w:rFonts w:eastAsia="Times New Roman" w:cstheme="minorHAnsi"/>
          <w:b/>
          <w:bCs/>
          <w:color w:val="auto"/>
          <w:sz w:val="24"/>
          <w:szCs w:val="24"/>
        </w:rPr>
        <w:t xml:space="preserve"> Essential</w:t>
      </w:r>
      <w:r w:rsidRPr="00EA2692">
        <w:rPr>
          <w:rFonts w:eastAsia="Times New Roman" w:cstheme="minorHAnsi"/>
          <w:b/>
          <w:bCs/>
          <w:color w:val="auto"/>
          <w:sz w:val="24"/>
          <w:szCs w:val="24"/>
        </w:rPr>
        <w:t xml:space="preserve"> Public Health </w:t>
      </w:r>
      <w:r w:rsidR="00411275" w:rsidRPr="00EA2692">
        <w:rPr>
          <w:rFonts w:eastAsia="Times New Roman" w:cstheme="minorHAnsi"/>
          <w:b/>
          <w:bCs/>
          <w:color w:val="auto"/>
          <w:sz w:val="24"/>
          <w:szCs w:val="24"/>
        </w:rPr>
        <w:t xml:space="preserve">Services:  </w:t>
      </w:r>
    </w:p>
    <w:p w14:paraId="4CE1BD5D" w14:textId="090FF2EA" w:rsidR="00D77DAE" w:rsidRPr="00EA2692" w:rsidRDefault="00D77DAE" w:rsidP="00D77DAE">
      <w:pPr>
        <w:tabs>
          <w:tab w:val="left" w:pos="720"/>
        </w:tabs>
        <w:contextualSpacing/>
        <w:rPr>
          <w:rFonts w:eastAsia="Times New Roman" w:cstheme="minorHAnsi"/>
          <w:color w:val="auto"/>
          <w:sz w:val="24"/>
          <w:szCs w:val="24"/>
        </w:rPr>
      </w:pPr>
      <w:r w:rsidRPr="00EA2692">
        <w:rPr>
          <w:rFonts w:eastAsia="Times New Roman" w:cstheme="minorHAnsi"/>
          <w:color w:val="auto"/>
          <w:sz w:val="24"/>
          <w:szCs w:val="24"/>
        </w:rPr>
        <w:tab/>
      </w:r>
      <w:hyperlink r:id="rId12" w:history="1">
        <w:r w:rsidRPr="00EA2692">
          <w:rPr>
            <w:rStyle w:val="Hyperlink"/>
            <w:rFonts w:eastAsia="Times New Roman" w:cstheme="minorHAnsi"/>
            <w:sz w:val="24"/>
            <w:szCs w:val="24"/>
          </w:rPr>
          <w:t>https://www.cdc.gov/public-health-gateway/php/about/index.html</w:t>
        </w:r>
      </w:hyperlink>
      <w:r w:rsidRPr="00EA2692">
        <w:rPr>
          <w:rFonts w:eastAsia="Times New Roman" w:cstheme="minorHAnsi"/>
          <w:color w:val="auto"/>
          <w:sz w:val="24"/>
          <w:szCs w:val="24"/>
        </w:rPr>
        <w:t xml:space="preserve"> </w:t>
      </w:r>
    </w:p>
    <w:p w14:paraId="30446EB1" w14:textId="67B21EF5" w:rsidR="00411275" w:rsidRPr="00EA2692" w:rsidRDefault="00411275" w:rsidP="00411275">
      <w:pPr>
        <w:numPr>
          <w:ilvl w:val="0"/>
          <w:numId w:val="12"/>
        </w:numPr>
        <w:spacing w:before="100" w:beforeAutospacing="1" w:after="100" w:afterAutospacing="1"/>
        <w:rPr>
          <w:rFonts w:eastAsia="Times New Roman" w:cstheme="minorHAnsi"/>
          <w:color w:val="auto"/>
          <w:sz w:val="24"/>
          <w:szCs w:val="24"/>
        </w:rPr>
      </w:pPr>
      <w:r w:rsidRPr="00EA2692">
        <w:rPr>
          <w:rFonts w:eastAsia="Times New Roman" w:cstheme="minorHAnsi"/>
          <w:color w:val="auto"/>
          <w:sz w:val="24"/>
          <w:szCs w:val="24"/>
        </w:rPr>
        <w:t>Assess and monitor population health status, factors that influence health, and community needs and assets.</w:t>
      </w:r>
    </w:p>
    <w:p w14:paraId="4C57570A" w14:textId="35A8C429" w:rsidR="00411275" w:rsidRPr="00EA2692" w:rsidRDefault="00411275" w:rsidP="00411275">
      <w:pPr>
        <w:numPr>
          <w:ilvl w:val="0"/>
          <w:numId w:val="12"/>
        </w:numPr>
        <w:spacing w:before="100" w:beforeAutospacing="1" w:after="100" w:afterAutospacing="1"/>
        <w:rPr>
          <w:rFonts w:eastAsia="Times New Roman" w:cstheme="minorHAnsi"/>
          <w:color w:val="auto"/>
          <w:sz w:val="24"/>
          <w:szCs w:val="24"/>
        </w:rPr>
      </w:pPr>
      <w:r w:rsidRPr="00EA2692">
        <w:rPr>
          <w:rFonts w:eastAsia="Times New Roman" w:cstheme="minorHAnsi"/>
          <w:color w:val="auto"/>
          <w:sz w:val="24"/>
          <w:szCs w:val="24"/>
        </w:rPr>
        <w:t>Investigate, diagnose, and address health problems and hazards affecting the population.</w:t>
      </w:r>
    </w:p>
    <w:p w14:paraId="4DB2F333" w14:textId="288E77DD" w:rsidR="00411275" w:rsidRPr="00EA2692" w:rsidRDefault="00411275" w:rsidP="00411275">
      <w:pPr>
        <w:numPr>
          <w:ilvl w:val="0"/>
          <w:numId w:val="12"/>
        </w:numPr>
        <w:spacing w:before="100" w:beforeAutospacing="1" w:after="100" w:afterAutospacing="1"/>
        <w:rPr>
          <w:rFonts w:eastAsia="Times New Roman" w:cstheme="minorHAnsi"/>
          <w:color w:val="auto"/>
          <w:sz w:val="24"/>
          <w:szCs w:val="24"/>
        </w:rPr>
      </w:pPr>
      <w:r w:rsidRPr="00EA2692">
        <w:rPr>
          <w:rFonts w:eastAsia="Times New Roman" w:cstheme="minorHAnsi"/>
          <w:color w:val="auto"/>
          <w:sz w:val="24"/>
          <w:szCs w:val="24"/>
        </w:rPr>
        <w:t>Communicate effectively to inform and educate people about health, factors that influence it, and how to improve it.</w:t>
      </w:r>
    </w:p>
    <w:p w14:paraId="6528B9D3" w14:textId="46E1FAE7" w:rsidR="00411275" w:rsidRPr="00EA2692" w:rsidRDefault="00411275" w:rsidP="00411275">
      <w:pPr>
        <w:numPr>
          <w:ilvl w:val="0"/>
          <w:numId w:val="12"/>
        </w:numPr>
        <w:spacing w:before="100" w:beforeAutospacing="1" w:after="100" w:afterAutospacing="1"/>
        <w:rPr>
          <w:rFonts w:eastAsia="Times New Roman" w:cstheme="minorHAnsi"/>
          <w:color w:val="auto"/>
          <w:sz w:val="24"/>
          <w:szCs w:val="24"/>
        </w:rPr>
      </w:pPr>
      <w:r w:rsidRPr="00EA2692">
        <w:rPr>
          <w:rFonts w:eastAsia="Times New Roman" w:cstheme="minorHAnsi"/>
          <w:color w:val="auto"/>
          <w:sz w:val="24"/>
          <w:szCs w:val="24"/>
        </w:rPr>
        <w:t>Strengthen, support, and mobilize communities and partnerships to improve health.</w:t>
      </w:r>
    </w:p>
    <w:p w14:paraId="666DCCBC" w14:textId="69927E07" w:rsidR="00411275" w:rsidRPr="00EA2692" w:rsidRDefault="00411275" w:rsidP="00411275">
      <w:pPr>
        <w:numPr>
          <w:ilvl w:val="0"/>
          <w:numId w:val="12"/>
        </w:numPr>
        <w:spacing w:before="100" w:beforeAutospacing="1" w:after="100" w:afterAutospacing="1"/>
        <w:rPr>
          <w:rFonts w:eastAsia="Times New Roman" w:cstheme="minorHAnsi"/>
          <w:color w:val="auto"/>
          <w:sz w:val="24"/>
          <w:szCs w:val="24"/>
        </w:rPr>
      </w:pPr>
      <w:r w:rsidRPr="00EA2692">
        <w:rPr>
          <w:rFonts w:eastAsia="Times New Roman" w:cstheme="minorHAnsi"/>
          <w:color w:val="auto"/>
          <w:sz w:val="24"/>
          <w:szCs w:val="24"/>
        </w:rPr>
        <w:t>Create, champion, and implement policies, plans, and laws that impact health.</w:t>
      </w:r>
    </w:p>
    <w:p w14:paraId="1D543685" w14:textId="154A29A2" w:rsidR="00411275" w:rsidRPr="00EA2692" w:rsidRDefault="00411275" w:rsidP="00411275">
      <w:pPr>
        <w:numPr>
          <w:ilvl w:val="0"/>
          <w:numId w:val="12"/>
        </w:numPr>
        <w:spacing w:before="100" w:beforeAutospacing="1" w:after="100" w:afterAutospacing="1"/>
        <w:rPr>
          <w:rFonts w:eastAsia="Times New Roman" w:cstheme="minorHAnsi"/>
          <w:color w:val="auto"/>
          <w:sz w:val="24"/>
          <w:szCs w:val="24"/>
        </w:rPr>
      </w:pPr>
      <w:r w:rsidRPr="00EA2692">
        <w:rPr>
          <w:rFonts w:eastAsia="Times New Roman" w:cstheme="minorHAnsi"/>
          <w:color w:val="auto"/>
          <w:sz w:val="24"/>
          <w:szCs w:val="24"/>
        </w:rPr>
        <w:t>Utilize legal and regulatory actions designed to improve and protect the public’s health.</w:t>
      </w:r>
    </w:p>
    <w:p w14:paraId="42BC4736" w14:textId="7EED05C2" w:rsidR="00411275" w:rsidRPr="00EA2692" w:rsidRDefault="00411275" w:rsidP="00411275">
      <w:pPr>
        <w:numPr>
          <w:ilvl w:val="0"/>
          <w:numId w:val="12"/>
        </w:numPr>
        <w:spacing w:before="100" w:beforeAutospacing="1" w:after="100" w:afterAutospacing="1"/>
        <w:rPr>
          <w:rFonts w:eastAsia="Times New Roman" w:cstheme="minorHAnsi"/>
          <w:color w:val="auto"/>
          <w:sz w:val="24"/>
          <w:szCs w:val="24"/>
        </w:rPr>
      </w:pPr>
      <w:r w:rsidRPr="00EA2692">
        <w:rPr>
          <w:rFonts w:eastAsia="Times New Roman" w:cstheme="minorHAnsi"/>
          <w:color w:val="auto"/>
          <w:sz w:val="24"/>
          <w:szCs w:val="24"/>
        </w:rPr>
        <w:t>Assure an effective system that enables equitable access to the individual services and care needed to be healthy.</w:t>
      </w:r>
    </w:p>
    <w:p w14:paraId="4C04B39D" w14:textId="1727554F" w:rsidR="00411275" w:rsidRPr="00EA2692" w:rsidRDefault="00411275" w:rsidP="00411275">
      <w:pPr>
        <w:numPr>
          <w:ilvl w:val="0"/>
          <w:numId w:val="12"/>
        </w:numPr>
        <w:spacing w:before="100" w:beforeAutospacing="1" w:after="100" w:afterAutospacing="1"/>
        <w:rPr>
          <w:rFonts w:eastAsia="Times New Roman" w:cstheme="minorHAnsi"/>
          <w:color w:val="auto"/>
          <w:sz w:val="24"/>
          <w:szCs w:val="24"/>
        </w:rPr>
      </w:pPr>
      <w:r w:rsidRPr="00EA2692">
        <w:rPr>
          <w:rFonts w:eastAsia="Times New Roman" w:cstheme="minorHAnsi"/>
          <w:color w:val="auto"/>
          <w:sz w:val="24"/>
          <w:szCs w:val="24"/>
        </w:rPr>
        <w:t>Build and support a diverse and skilled public health workforce.</w:t>
      </w:r>
    </w:p>
    <w:p w14:paraId="6B6B756F" w14:textId="63B7E52E" w:rsidR="00411275" w:rsidRPr="00EA2692" w:rsidRDefault="00411275" w:rsidP="00411275">
      <w:pPr>
        <w:numPr>
          <w:ilvl w:val="0"/>
          <w:numId w:val="12"/>
        </w:numPr>
        <w:spacing w:before="100" w:beforeAutospacing="1" w:after="100" w:afterAutospacing="1"/>
        <w:rPr>
          <w:rFonts w:eastAsia="Times New Roman" w:cstheme="minorHAnsi"/>
          <w:color w:val="auto"/>
          <w:sz w:val="24"/>
          <w:szCs w:val="24"/>
        </w:rPr>
      </w:pPr>
      <w:r w:rsidRPr="00EA2692">
        <w:rPr>
          <w:rFonts w:eastAsia="Times New Roman" w:cstheme="minorHAnsi"/>
          <w:color w:val="auto"/>
          <w:sz w:val="24"/>
          <w:szCs w:val="24"/>
        </w:rPr>
        <w:t>Improve and innovate public health functions through ongoing evaluation, research, and continuous quality improvement.</w:t>
      </w:r>
    </w:p>
    <w:p w14:paraId="148516A4" w14:textId="668BB362" w:rsidR="00411275" w:rsidRPr="00EA2692" w:rsidRDefault="00411275" w:rsidP="00411275">
      <w:pPr>
        <w:numPr>
          <w:ilvl w:val="0"/>
          <w:numId w:val="12"/>
        </w:numPr>
        <w:spacing w:before="100" w:beforeAutospacing="1"/>
        <w:rPr>
          <w:rFonts w:eastAsia="Times New Roman" w:cstheme="minorHAnsi"/>
          <w:color w:val="auto"/>
          <w:sz w:val="24"/>
          <w:szCs w:val="24"/>
        </w:rPr>
      </w:pPr>
      <w:r w:rsidRPr="00EA2692">
        <w:rPr>
          <w:rFonts w:eastAsia="Times New Roman" w:cstheme="minorHAnsi"/>
          <w:color w:val="auto"/>
          <w:sz w:val="24"/>
          <w:szCs w:val="24"/>
        </w:rPr>
        <w:t>Build and maintain a strong organizational infrastructure for public health.</w:t>
      </w:r>
    </w:p>
    <w:p w14:paraId="50C25A08" w14:textId="77777777" w:rsidR="00411275" w:rsidRPr="00EA2692" w:rsidRDefault="00411275" w:rsidP="00411275">
      <w:pPr>
        <w:tabs>
          <w:tab w:val="left" w:pos="720"/>
        </w:tabs>
        <w:ind w:left="720"/>
        <w:contextualSpacing/>
        <w:rPr>
          <w:rFonts w:eastAsia="Times New Roman" w:cstheme="minorHAnsi"/>
          <w:color w:val="auto"/>
          <w:sz w:val="24"/>
          <w:szCs w:val="24"/>
        </w:rPr>
      </w:pPr>
    </w:p>
    <w:p w14:paraId="4B04D78C" w14:textId="77777777" w:rsidR="00411275" w:rsidRPr="00EA2692" w:rsidRDefault="00411275"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Verify/Verifying:</w:t>
      </w:r>
      <w:r w:rsidRPr="00EA2692">
        <w:rPr>
          <w:rFonts w:eastAsia="Times New Roman" w:cstheme="minorHAnsi"/>
          <w:color w:val="auto"/>
          <w:sz w:val="24"/>
          <w:szCs w:val="24"/>
        </w:rPr>
        <w:t xml:space="preserve"> Establishing that something represented to happen, does in fact take place.</w:t>
      </w:r>
    </w:p>
    <w:p w14:paraId="474A597F" w14:textId="28CACECD" w:rsidR="00CC5ADB" w:rsidRPr="00EA2692" w:rsidRDefault="00CC5ADB" w:rsidP="00411275">
      <w:pPr>
        <w:numPr>
          <w:ilvl w:val="0"/>
          <w:numId w:val="10"/>
        </w:numPr>
        <w:tabs>
          <w:tab w:val="left" w:pos="720"/>
        </w:tabs>
        <w:ind w:hanging="720"/>
        <w:contextualSpacing/>
        <w:rPr>
          <w:rFonts w:eastAsia="Times New Roman" w:cstheme="minorHAnsi"/>
          <w:color w:val="auto"/>
          <w:sz w:val="24"/>
          <w:szCs w:val="24"/>
        </w:rPr>
      </w:pPr>
      <w:r w:rsidRPr="00EA2692">
        <w:rPr>
          <w:rFonts w:eastAsia="Times New Roman" w:cstheme="minorHAnsi"/>
          <w:b/>
          <w:bCs/>
          <w:color w:val="auto"/>
          <w:sz w:val="24"/>
          <w:szCs w:val="24"/>
        </w:rPr>
        <w:t>Women of Childbearing Age:</w:t>
      </w:r>
      <w:r w:rsidRPr="00EA2692">
        <w:rPr>
          <w:rFonts w:eastAsia="Times New Roman" w:cstheme="minorHAnsi"/>
          <w:color w:val="auto"/>
          <w:sz w:val="24"/>
          <w:szCs w:val="24"/>
        </w:rPr>
        <w:t xml:space="preserve">  Ages 15 to 49 years old.</w:t>
      </w:r>
    </w:p>
    <w:p w14:paraId="13CDEC41" w14:textId="77777777" w:rsidR="00411275" w:rsidRPr="00EA2692" w:rsidRDefault="00411275" w:rsidP="00411275">
      <w:pPr>
        <w:tabs>
          <w:tab w:val="left" w:pos="720"/>
        </w:tabs>
        <w:ind w:left="540" w:hanging="720"/>
        <w:rPr>
          <w:rFonts w:eastAsia="Times New Roman" w:cstheme="minorHAnsi"/>
          <w:color w:val="auto"/>
          <w:sz w:val="24"/>
          <w:szCs w:val="24"/>
        </w:rPr>
      </w:pPr>
    </w:p>
    <w:p w14:paraId="5DED3DA6" w14:textId="77777777" w:rsidR="00411275" w:rsidRPr="00EA2692" w:rsidRDefault="00411275" w:rsidP="00411275">
      <w:pPr>
        <w:tabs>
          <w:tab w:val="left" w:pos="720"/>
        </w:tabs>
        <w:ind w:left="540" w:hanging="720"/>
        <w:rPr>
          <w:rFonts w:eastAsia="Times New Roman" w:cstheme="minorHAnsi"/>
          <w:color w:val="auto"/>
          <w:sz w:val="24"/>
          <w:szCs w:val="24"/>
        </w:rPr>
      </w:pPr>
    </w:p>
    <w:p w14:paraId="7162E072" w14:textId="77777777" w:rsidR="00411275" w:rsidRPr="00EA2692" w:rsidRDefault="00411275" w:rsidP="00411275">
      <w:pPr>
        <w:tabs>
          <w:tab w:val="left" w:pos="720"/>
        </w:tabs>
        <w:ind w:left="540" w:hanging="720"/>
        <w:rPr>
          <w:rFonts w:eastAsia="Times New Roman" w:cstheme="minorHAnsi"/>
          <w:color w:val="auto"/>
          <w:sz w:val="24"/>
          <w:szCs w:val="24"/>
        </w:rPr>
      </w:pPr>
    </w:p>
    <w:p w14:paraId="794958C4" w14:textId="77777777" w:rsidR="00411275" w:rsidRPr="00EA2692" w:rsidRDefault="00411275" w:rsidP="00411275">
      <w:pPr>
        <w:tabs>
          <w:tab w:val="left" w:pos="720"/>
        </w:tabs>
        <w:ind w:left="540" w:hanging="720"/>
        <w:rPr>
          <w:rFonts w:eastAsia="Times New Roman" w:cstheme="minorHAnsi"/>
          <w:color w:val="auto"/>
          <w:sz w:val="24"/>
          <w:szCs w:val="24"/>
        </w:rPr>
      </w:pPr>
    </w:p>
    <w:p w14:paraId="0DDF5204" w14:textId="77777777" w:rsidR="00411275" w:rsidRPr="00EA2692" w:rsidRDefault="00411275" w:rsidP="00411275">
      <w:pPr>
        <w:tabs>
          <w:tab w:val="left" w:pos="540"/>
        </w:tabs>
        <w:ind w:left="540" w:hanging="540"/>
        <w:rPr>
          <w:rFonts w:eastAsia="Times New Roman" w:cstheme="minorHAnsi"/>
          <w:color w:val="auto"/>
          <w:sz w:val="24"/>
          <w:szCs w:val="24"/>
        </w:rPr>
      </w:pPr>
    </w:p>
    <w:p w14:paraId="5D496757" w14:textId="77777777" w:rsidR="00411275" w:rsidRPr="00EA2692" w:rsidRDefault="00411275" w:rsidP="006468C4">
      <w:pPr>
        <w:rPr>
          <w:rFonts w:cstheme="minorHAnsi"/>
          <w:sz w:val="24"/>
          <w:szCs w:val="24"/>
        </w:rPr>
      </w:pPr>
    </w:p>
    <w:p w14:paraId="09E4EC43" w14:textId="77777777" w:rsidR="00411275" w:rsidRPr="00EA2692" w:rsidRDefault="00411275" w:rsidP="006468C4">
      <w:pPr>
        <w:rPr>
          <w:rFonts w:cstheme="minorHAnsi"/>
          <w:sz w:val="24"/>
          <w:szCs w:val="24"/>
        </w:rPr>
      </w:pPr>
    </w:p>
    <w:p w14:paraId="6EEB9471" w14:textId="77777777" w:rsidR="00411275" w:rsidRPr="00EA2692" w:rsidRDefault="00411275" w:rsidP="006468C4">
      <w:pPr>
        <w:rPr>
          <w:rFonts w:cstheme="minorHAnsi"/>
          <w:sz w:val="24"/>
          <w:szCs w:val="24"/>
        </w:rPr>
      </w:pPr>
    </w:p>
    <w:p w14:paraId="51F9E0FB" w14:textId="77777777" w:rsidR="00411275" w:rsidRPr="00EA2692" w:rsidRDefault="00411275" w:rsidP="006468C4">
      <w:pPr>
        <w:rPr>
          <w:rFonts w:cstheme="minorHAnsi"/>
          <w:sz w:val="24"/>
          <w:szCs w:val="24"/>
        </w:rPr>
      </w:pPr>
    </w:p>
    <w:p w14:paraId="759A44F0" w14:textId="77777777" w:rsidR="00411275" w:rsidRPr="00EA2692" w:rsidRDefault="00411275" w:rsidP="006468C4">
      <w:pPr>
        <w:rPr>
          <w:rFonts w:cstheme="minorHAnsi"/>
          <w:sz w:val="24"/>
          <w:szCs w:val="24"/>
        </w:rPr>
      </w:pPr>
    </w:p>
    <w:p w14:paraId="360E36A5" w14:textId="77777777" w:rsidR="00411275" w:rsidRPr="00EA2692" w:rsidRDefault="00411275" w:rsidP="006468C4">
      <w:pPr>
        <w:rPr>
          <w:rFonts w:cstheme="minorHAnsi"/>
          <w:sz w:val="24"/>
          <w:szCs w:val="24"/>
        </w:rPr>
      </w:pPr>
    </w:p>
    <w:p w14:paraId="4558EF70" w14:textId="77777777" w:rsidR="00411275" w:rsidRPr="00EA2692" w:rsidRDefault="00411275" w:rsidP="006468C4">
      <w:pPr>
        <w:rPr>
          <w:rFonts w:cstheme="minorHAnsi"/>
          <w:sz w:val="24"/>
          <w:szCs w:val="24"/>
        </w:rPr>
      </w:pPr>
    </w:p>
    <w:p w14:paraId="464AADBB" w14:textId="77777777" w:rsidR="00411275" w:rsidRPr="00EA2692" w:rsidRDefault="00411275" w:rsidP="006468C4">
      <w:pPr>
        <w:rPr>
          <w:rFonts w:cstheme="minorHAnsi"/>
          <w:sz w:val="24"/>
          <w:szCs w:val="24"/>
        </w:rPr>
      </w:pPr>
    </w:p>
    <w:p w14:paraId="6E0E25E5" w14:textId="77777777" w:rsidR="00411275" w:rsidRPr="00EA2692" w:rsidRDefault="00411275" w:rsidP="006468C4">
      <w:pPr>
        <w:rPr>
          <w:rFonts w:cstheme="minorHAnsi"/>
          <w:sz w:val="24"/>
          <w:szCs w:val="24"/>
        </w:rPr>
      </w:pPr>
    </w:p>
    <w:p w14:paraId="74010DFE" w14:textId="1717BE94" w:rsidR="00411275" w:rsidRPr="00EA2692" w:rsidRDefault="00411275" w:rsidP="006468C4">
      <w:pPr>
        <w:rPr>
          <w:rFonts w:cstheme="minorHAnsi"/>
          <w:sz w:val="16"/>
          <w:szCs w:val="16"/>
        </w:rPr>
      </w:pPr>
      <w:r w:rsidRPr="00EA2692">
        <w:rPr>
          <w:rFonts w:cstheme="minorHAnsi"/>
          <w:sz w:val="16"/>
          <w:szCs w:val="16"/>
        </w:rPr>
        <w:t>Reviewed/Updated 0</w:t>
      </w:r>
      <w:r w:rsidR="00D77DAE" w:rsidRPr="00EA2692">
        <w:rPr>
          <w:rFonts w:cstheme="minorHAnsi"/>
          <w:sz w:val="16"/>
          <w:szCs w:val="16"/>
        </w:rPr>
        <w:t>5/14/2025</w:t>
      </w:r>
    </w:p>
    <w:sectPr w:rsidR="00411275" w:rsidRPr="00EA26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7008" w14:textId="77777777" w:rsidR="00EF5375" w:rsidRDefault="00EF5375" w:rsidP="00562676">
      <w:r>
        <w:separator/>
      </w:r>
    </w:p>
  </w:endnote>
  <w:endnote w:type="continuationSeparator" w:id="0">
    <w:p w14:paraId="61F83961" w14:textId="77777777" w:rsidR="00EF5375" w:rsidRDefault="00EF5375" w:rsidP="0056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86ED" w14:textId="7FB323C6" w:rsidR="006C0D7C" w:rsidRPr="005A1A27" w:rsidRDefault="00AD72B3" w:rsidP="00AD72B3">
    <w:pPr>
      <w:jc w:val="center"/>
      <w:rPr>
        <w:b/>
        <w:color w:val="012169"/>
        <w:sz w:val="24"/>
      </w:rPr>
    </w:pPr>
    <w:r w:rsidRPr="005A1A27">
      <w:rPr>
        <w:b/>
        <w:color w:val="012169"/>
        <w:sz w:val="24"/>
      </w:rPr>
      <w:t>Missouri Department of Health and Senior Services</w:t>
    </w:r>
    <w:r w:rsidR="00411275">
      <w:rPr>
        <w:b/>
        <w:color w:val="012169"/>
        <w:sz w:val="24"/>
      </w:rPr>
      <w:t xml:space="preserve">                          </w:t>
    </w:r>
  </w:p>
  <w:p w14:paraId="421F01D2" w14:textId="77777777" w:rsidR="00AD72B3" w:rsidRDefault="00AD72B3" w:rsidP="00AD72B3">
    <w:pPr>
      <w:jc w:val="center"/>
      <w:rPr>
        <w:color w:val="012169"/>
      </w:rPr>
    </w:pPr>
    <w:r w:rsidRPr="005A1A27">
      <w:rPr>
        <w:color w:val="008C95"/>
      </w:rPr>
      <w:t>912 Wildwood Drive | Jefferson City, MO 65109</w:t>
    </w:r>
  </w:p>
  <w:p w14:paraId="3A95B952" w14:textId="77777777" w:rsidR="005A1A27" w:rsidRPr="00407C3F" w:rsidRDefault="005A1A27" w:rsidP="00AD72B3">
    <w:pPr>
      <w:jc w:val="center"/>
      <w:rPr>
        <w:color w:val="012169"/>
      </w:rPr>
    </w:pPr>
    <w:r>
      <w:rPr>
        <w:noProof/>
        <w:color w:val="012169"/>
      </w:rPr>
      <mc:AlternateContent>
        <mc:Choice Requires="wpg">
          <w:drawing>
            <wp:anchor distT="0" distB="0" distL="114300" distR="114300" simplePos="0" relativeHeight="251665408" behindDoc="0" locked="0" layoutInCell="1" allowOverlap="1" wp14:anchorId="10A90AD3" wp14:editId="4010F9D3">
              <wp:simplePos x="0" y="0"/>
              <wp:positionH relativeFrom="margin">
                <wp:align>center</wp:align>
              </wp:positionH>
              <wp:positionV relativeFrom="paragraph">
                <wp:posOffset>115470</wp:posOffset>
              </wp:positionV>
              <wp:extent cx="6809552" cy="60835"/>
              <wp:effectExtent l="0" t="0" r="0" b="0"/>
              <wp:wrapNone/>
              <wp:docPr id="7" name="Group 7"/>
              <wp:cNvGraphicFramePr/>
              <a:graphic xmlns:a="http://schemas.openxmlformats.org/drawingml/2006/main">
                <a:graphicData uri="http://schemas.microsoft.com/office/word/2010/wordprocessingGroup">
                  <wpg:wgp>
                    <wpg:cNvGrpSpPr/>
                    <wpg:grpSpPr>
                      <a:xfrm>
                        <a:off x="0" y="0"/>
                        <a:ext cx="6809552" cy="60835"/>
                        <a:chOff x="0" y="0"/>
                        <a:chExt cx="6809552" cy="131526"/>
                      </a:xfrm>
                    </wpg:grpSpPr>
                    <wps:wsp>
                      <wps:cNvPr id="1" name="Rectangle 1"/>
                      <wps:cNvSpPr/>
                      <wps:spPr>
                        <a:xfrm>
                          <a:off x="0" y="0"/>
                          <a:ext cx="1685290" cy="127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702052" y="0"/>
                          <a:ext cx="1685290" cy="127000"/>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5124262" y="4526"/>
                          <a:ext cx="1685290" cy="12700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413157" y="4526"/>
                          <a:ext cx="1685290" cy="127000"/>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0224426" id="Group 7" o:spid="_x0000_s1026" style="position:absolute;margin-left:0;margin-top:9.1pt;width:536.2pt;height:4.8pt;z-index:251665408;mso-position-horizontal:center;mso-position-horizontal-relative:margin;mso-height-relative:margin" coordsize="68095,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">
              <v:rect id="Rectangle 1" o:spid="_x0000_s1027" style="position:absolute;width:16852;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012169 [3204]" stroked="f" strokeweight="1pt"/>
              <v:rect id="Rectangle 2" o:spid="_x0000_s1028" style="position:absolute;left:17020;width:16853;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" fillcolor="#008c95 [3205]" stroked="f" strokeweight="1pt"/>
              <v:rect id="Rectangle 3" o:spid="_x0000_s1029" style="position:absolute;left:51242;top:45;width:16853;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" fillcolor="#e35205 [3206]" stroked="f" strokeweight="1pt"/>
              <v:rect id="Rectangle 4" o:spid="_x0000_s1030" style="position:absolute;left:34131;top:45;width:16853;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" fillcolor="#f2a900 [3207]" stroked="f" strokeweight="1p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577E" w14:textId="77777777" w:rsidR="00EF5375" w:rsidRDefault="00EF5375" w:rsidP="00562676">
      <w:r>
        <w:separator/>
      </w:r>
    </w:p>
  </w:footnote>
  <w:footnote w:type="continuationSeparator" w:id="0">
    <w:p w14:paraId="245A68F6" w14:textId="77777777" w:rsidR="00EF5375" w:rsidRDefault="00EF5375" w:rsidP="00562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A02C75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5CEBAC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0463BF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CC06F7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936B00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81EC7"/>
    <w:multiLevelType w:val="hybridMultilevel"/>
    <w:tmpl w:val="F20412F4"/>
    <w:lvl w:ilvl="0" w:tplc="A21EE0C2">
      <w:start w:val="1"/>
      <w:numFmt w:val="decimal"/>
      <w:lvlText w:val="%1."/>
      <w:lvlJc w:val="left"/>
      <w:pPr>
        <w:ind w:left="720" w:hanging="360"/>
      </w:pPr>
      <w:rPr>
        <w:rFonts w:ascii="Arial" w:hAnsi="Arial" w:cs="Arial" w:hint="default"/>
        <w:b/>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E4468"/>
    <w:multiLevelType w:val="multilevel"/>
    <w:tmpl w:val="1728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11B05"/>
    <w:multiLevelType w:val="hybridMultilevel"/>
    <w:tmpl w:val="EEDAB2F6"/>
    <w:lvl w:ilvl="0" w:tplc="A21EE0C2">
      <w:start w:val="1"/>
      <w:numFmt w:val="decimal"/>
      <w:lvlText w:val="%1."/>
      <w:lvlJc w:val="left"/>
      <w:pPr>
        <w:ind w:left="720" w:hanging="360"/>
      </w:pPr>
      <w:rPr>
        <w:rFonts w:ascii="Arial" w:hAnsi="Arial" w:cs="Arial"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B589D"/>
    <w:multiLevelType w:val="hybridMultilevel"/>
    <w:tmpl w:val="87B6D85A"/>
    <w:lvl w:ilvl="0" w:tplc="75305056">
      <w:start w:val="1"/>
      <w:numFmt w:val="bullet"/>
      <w:lvlText w:val="o"/>
      <w:lvlJc w:val="left"/>
      <w:pPr>
        <w:tabs>
          <w:tab w:val="num" w:pos="720"/>
        </w:tabs>
        <w:ind w:left="720" w:hanging="360"/>
      </w:pPr>
      <w:rPr>
        <w:rFonts w:ascii="Courier New" w:hAnsi="Courier New" w:hint="default"/>
      </w:rPr>
    </w:lvl>
    <w:lvl w:ilvl="1" w:tplc="4440C8FC">
      <w:start w:val="1"/>
      <w:numFmt w:val="bullet"/>
      <w:lvlText w:val="o"/>
      <w:lvlJc w:val="left"/>
      <w:pPr>
        <w:tabs>
          <w:tab w:val="num" w:pos="1440"/>
        </w:tabs>
        <w:ind w:left="1440" w:hanging="360"/>
      </w:pPr>
      <w:rPr>
        <w:rFonts w:ascii="Courier New" w:hAnsi="Courier New" w:hint="default"/>
      </w:rPr>
    </w:lvl>
    <w:lvl w:ilvl="2" w:tplc="DEE6E056" w:tentative="1">
      <w:start w:val="1"/>
      <w:numFmt w:val="bullet"/>
      <w:lvlText w:val="o"/>
      <w:lvlJc w:val="left"/>
      <w:pPr>
        <w:tabs>
          <w:tab w:val="num" w:pos="2160"/>
        </w:tabs>
        <w:ind w:left="2160" w:hanging="360"/>
      </w:pPr>
      <w:rPr>
        <w:rFonts w:ascii="Courier New" w:hAnsi="Courier New" w:hint="default"/>
      </w:rPr>
    </w:lvl>
    <w:lvl w:ilvl="3" w:tplc="EDF09270" w:tentative="1">
      <w:start w:val="1"/>
      <w:numFmt w:val="bullet"/>
      <w:lvlText w:val="o"/>
      <w:lvlJc w:val="left"/>
      <w:pPr>
        <w:tabs>
          <w:tab w:val="num" w:pos="2880"/>
        </w:tabs>
        <w:ind w:left="2880" w:hanging="360"/>
      </w:pPr>
      <w:rPr>
        <w:rFonts w:ascii="Courier New" w:hAnsi="Courier New" w:hint="default"/>
      </w:rPr>
    </w:lvl>
    <w:lvl w:ilvl="4" w:tplc="3A58D5D0" w:tentative="1">
      <w:start w:val="1"/>
      <w:numFmt w:val="bullet"/>
      <w:lvlText w:val="o"/>
      <w:lvlJc w:val="left"/>
      <w:pPr>
        <w:tabs>
          <w:tab w:val="num" w:pos="3600"/>
        </w:tabs>
        <w:ind w:left="3600" w:hanging="360"/>
      </w:pPr>
      <w:rPr>
        <w:rFonts w:ascii="Courier New" w:hAnsi="Courier New" w:hint="default"/>
      </w:rPr>
    </w:lvl>
    <w:lvl w:ilvl="5" w:tplc="1096BB70" w:tentative="1">
      <w:start w:val="1"/>
      <w:numFmt w:val="bullet"/>
      <w:lvlText w:val="o"/>
      <w:lvlJc w:val="left"/>
      <w:pPr>
        <w:tabs>
          <w:tab w:val="num" w:pos="4320"/>
        </w:tabs>
        <w:ind w:left="4320" w:hanging="360"/>
      </w:pPr>
      <w:rPr>
        <w:rFonts w:ascii="Courier New" w:hAnsi="Courier New" w:hint="default"/>
      </w:rPr>
    </w:lvl>
    <w:lvl w:ilvl="6" w:tplc="5DF4C110" w:tentative="1">
      <w:start w:val="1"/>
      <w:numFmt w:val="bullet"/>
      <w:lvlText w:val="o"/>
      <w:lvlJc w:val="left"/>
      <w:pPr>
        <w:tabs>
          <w:tab w:val="num" w:pos="5040"/>
        </w:tabs>
        <w:ind w:left="5040" w:hanging="360"/>
      </w:pPr>
      <w:rPr>
        <w:rFonts w:ascii="Courier New" w:hAnsi="Courier New" w:hint="default"/>
      </w:rPr>
    </w:lvl>
    <w:lvl w:ilvl="7" w:tplc="F37C8BE0" w:tentative="1">
      <w:start w:val="1"/>
      <w:numFmt w:val="bullet"/>
      <w:lvlText w:val="o"/>
      <w:lvlJc w:val="left"/>
      <w:pPr>
        <w:tabs>
          <w:tab w:val="num" w:pos="5760"/>
        </w:tabs>
        <w:ind w:left="5760" w:hanging="360"/>
      </w:pPr>
      <w:rPr>
        <w:rFonts w:ascii="Courier New" w:hAnsi="Courier New" w:hint="default"/>
      </w:rPr>
    </w:lvl>
    <w:lvl w:ilvl="8" w:tplc="A380EB30"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4F940A8"/>
    <w:multiLevelType w:val="hybridMultilevel"/>
    <w:tmpl w:val="8F120FCA"/>
    <w:lvl w:ilvl="0" w:tplc="E3B2C900">
      <w:start w:val="1"/>
      <w:numFmt w:val="bullet"/>
      <w:lvlText w:val=""/>
      <w:lvlJc w:val="left"/>
      <w:pPr>
        <w:ind w:left="720" w:hanging="360"/>
      </w:pPr>
      <w:rPr>
        <w:rFonts w:ascii="Wingdings" w:hAnsi="Wingdings" w:hint="default"/>
        <w:color w:val="008C95"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2022F"/>
    <w:multiLevelType w:val="hybridMultilevel"/>
    <w:tmpl w:val="09A2D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360C82"/>
    <w:multiLevelType w:val="hybridMultilevel"/>
    <w:tmpl w:val="11C4EDAC"/>
    <w:lvl w:ilvl="0" w:tplc="04661252">
      <w:start w:val="1"/>
      <w:numFmt w:val="decimal"/>
      <w:pStyle w:val="NumberedList"/>
      <w:lvlText w:val="%1."/>
      <w:lvlJc w:val="left"/>
      <w:pPr>
        <w:ind w:left="720" w:hanging="360"/>
      </w:pPr>
      <w:rPr>
        <w:rFonts w:ascii="Arial" w:hAnsi="Arial" w:hint="default"/>
        <w:b/>
        <w:i w:val="0"/>
        <w:color w:val="008C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27A95"/>
    <w:multiLevelType w:val="hybridMultilevel"/>
    <w:tmpl w:val="F5BAA6F4"/>
    <w:lvl w:ilvl="0" w:tplc="1C542FE6">
      <w:start w:val="1"/>
      <w:numFmt w:val="bullet"/>
      <w:pStyle w:val="BulletList"/>
      <w:lvlText w:val=""/>
      <w:lvlJc w:val="left"/>
      <w:pPr>
        <w:ind w:left="720" w:hanging="360"/>
      </w:pPr>
      <w:rPr>
        <w:rFonts w:ascii="Wingdings" w:hAnsi="Wingdings" w:hint="default"/>
        <w:color w:val="008C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169224">
    <w:abstractNumId w:val="9"/>
  </w:num>
  <w:num w:numId="2" w16cid:durableId="411199726">
    <w:abstractNumId w:val="11"/>
  </w:num>
  <w:num w:numId="3" w16cid:durableId="236868735">
    <w:abstractNumId w:val="4"/>
  </w:num>
  <w:num w:numId="4" w16cid:durableId="1946426388">
    <w:abstractNumId w:val="3"/>
  </w:num>
  <w:num w:numId="5" w16cid:durableId="282200510">
    <w:abstractNumId w:val="2"/>
  </w:num>
  <w:num w:numId="6" w16cid:durableId="1376006150">
    <w:abstractNumId w:val="1"/>
  </w:num>
  <w:num w:numId="7" w16cid:durableId="1779249418">
    <w:abstractNumId w:val="0"/>
  </w:num>
  <w:num w:numId="8" w16cid:durableId="1384059744">
    <w:abstractNumId w:val="11"/>
    <w:lvlOverride w:ilvl="0">
      <w:startOverride w:val="1"/>
    </w:lvlOverride>
  </w:num>
  <w:num w:numId="9" w16cid:durableId="1864899911">
    <w:abstractNumId w:val="12"/>
  </w:num>
  <w:num w:numId="10" w16cid:durableId="1489710690">
    <w:abstractNumId w:val="7"/>
  </w:num>
  <w:num w:numId="11" w16cid:durableId="306710267">
    <w:abstractNumId w:val="5"/>
  </w:num>
  <w:num w:numId="12" w16cid:durableId="1796486953">
    <w:abstractNumId w:val="6"/>
  </w:num>
  <w:num w:numId="13" w16cid:durableId="255671690">
    <w:abstractNumId w:val="8"/>
  </w:num>
  <w:num w:numId="14" w16cid:durableId="1306736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4"/>
    <w:rsid w:val="00050705"/>
    <w:rsid w:val="001024B5"/>
    <w:rsid w:val="00284504"/>
    <w:rsid w:val="0038427F"/>
    <w:rsid w:val="003B61FA"/>
    <w:rsid w:val="003C1A02"/>
    <w:rsid w:val="003C3A13"/>
    <w:rsid w:val="00407C3F"/>
    <w:rsid w:val="00411275"/>
    <w:rsid w:val="00451652"/>
    <w:rsid w:val="00562676"/>
    <w:rsid w:val="00591BAF"/>
    <w:rsid w:val="005A1A27"/>
    <w:rsid w:val="00612CFB"/>
    <w:rsid w:val="0062733A"/>
    <w:rsid w:val="00642B8D"/>
    <w:rsid w:val="00644B71"/>
    <w:rsid w:val="006468C4"/>
    <w:rsid w:val="006C0D7C"/>
    <w:rsid w:val="00821D53"/>
    <w:rsid w:val="008F51F6"/>
    <w:rsid w:val="00921EC1"/>
    <w:rsid w:val="00953372"/>
    <w:rsid w:val="0099538B"/>
    <w:rsid w:val="00AD5B54"/>
    <w:rsid w:val="00AD72B3"/>
    <w:rsid w:val="00BC3F2A"/>
    <w:rsid w:val="00BF6E82"/>
    <w:rsid w:val="00C41FD0"/>
    <w:rsid w:val="00C770C1"/>
    <w:rsid w:val="00CC5ADB"/>
    <w:rsid w:val="00D77DAE"/>
    <w:rsid w:val="00DA5CF2"/>
    <w:rsid w:val="00EA2692"/>
    <w:rsid w:val="00EF5375"/>
    <w:rsid w:val="00F0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23BB35"/>
  <w15:chartTrackingRefBased/>
  <w15:docId w15:val="{8CB3B938-37D2-4B62-A73B-241BBE56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unhideWhenUsed="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C3F"/>
    <w:rPr>
      <w:color w:val="3D3D3D" w:themeColor="text2"/>
      <w:sz w:val="20"/>
    </w:rPr>
  </w:style>
  <w:style w:type="paragraph" w:styleId="Heading1">
    <w:name w:val="heading 1"/>
    <w:next w:val="Normal"/>
    <w:link w:val="Heading1Char"/>
    <w:uiPriority w:val="3"/>
    <w:qFormat/>
    <w:rsid w:val="00407C3F"/>
    <w:pPr>
      <w:keepNext/>
      <w:keepLines/>
      <w:spacing w:before="240"/>
      <w:outlineLvl w:val="0"/>
    </w:pPr>
    <w:rPr>
      <w:rFonts w:asciiTheme="majorHAnsi" w:eastAsiaTheme="majorEastAsia" w:hAnsiTheme="majorHAnsi" w:cstheme="majorBidi"/>
      <w:b/>
      <w:color w:val="012169"/>
      <w:sz w:val="28"/>
      <w:szCs w:val="32"/>
    </w:rPr>
  </w:style>
  <w:style w:type="paragraph" w:styleId="Heading2">
    <w:name w:val="heading 2"/>
    <w:next w:val="Normal"/>
    <w:link w:val="Heading2Char"/>
    <w:uiPriority w:val="4"/>
    <w:qFormat/>
    <w:rsid w:val="00407C3F"/>
    <w:pPr>
      <w:keepNext/>
      <w:keepLines/>
      <w:outlineLvl w:val="1"/>
    </w:pPr>
    <w:rPr>
      <w:rFonts w:ascii="Arial" w:eastAsiaTheme="majorEastAsia" w:hAnsi="Arial" w:cstheme="majorBidi"/>
      <w:b/>
      <w:i/>
      <w:color w:val="008C95"/>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407C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background2" w:themeFillShade="E6"/>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9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9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9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95" w:themeFill="accent2"/>
      </w:tcPr>
    </w:tblStylePr>
    <w:tblStylePr w:type="band1Vert">
      <w:tblPr/>
      <w:tcPr>
        <w:shd w:val="clear" w:color="auto" w:fill="6EF5FF" w:themeFill="accent2" w:themeFillTint="66"/>
      </w:tcPr>
    </w:tblStylePr>
    <w:tblStylePr w:type="band1Horz">
      <w:tblPr/>
      <w:tcPr>
        <w:shd w:val="clear" w:color="auto" w:fill="6EF5FF" w:themeFill="accent2" w:themeFillTint="66"/>
      </w:tcPr>
    </w:tblStylePr>
  </w:style>
  <w:style w:type="character" w:customStyle="1" w:styleId="Heading1Char">
    <w:name w:val="Heading 1 Char"/>
    <w:basedOn w:val="DefaultParagraphFont"/>
    <w:link w:val="Heading1"/>
    <w:uiPriority w:val="3"/>
    <w:rsid w:val="00407C3F"/>
    <w:rPr>
      <w:rFonts w:asciiTheme="majorHAnsi" w:eastAsiaTheme="majorEastAsia" w:hAnsiTheme="majorHAnsi" w:cstheme="majorBidi"/>
      <w:b/>
      <w:color w:val="012169"/>
      <w:sz w:val="28"/>
      <w:szCs w:val="32"/>
    </w:rPr>
  </w:style>
  <w:style w:type="paragraph" w:styleId="NoSpacing">
    <w:name w:val="No Spacing"/>
    <w:uiPriority w:val="1"/>
    <w:semiHidden/>
    <w:rsid w:val="008F51F6"/>
    <w:rPr>
      <w:rFonts w:ascii="Open Sans" w:hAnsi="Open Sans"/>
      <w:color w:val="3D3D3D" w:themeColor="text2"/>
      <w:sz w:val="20"/>
    </w:rPr>
  </w:style>
  <w:style w:type="character" w:customStyle="1" w:styleId="Heading2Char">
    <w:name w:val="Heading 2 Char"/>
    <w:basedOn w:val="DefaultParagraphFont"/>
    <w:link w:val="Heading2"/>
    <w:uiPriority w:val="4"/>
    <w:rsid w:val="00407C3F"/>
    <w:rPr>
      <w:rFonts w:ascii="Arial" w:eastAsiaTheme="majorEastAsia" w:hAnsi="Arial" w:cstheme="majorBidi"/>
      <w:b/>
      <w:i/>
      <w:color w:val="008C95"/>
      <w:sz w:val="24"/>
      <w:szCs w:val="26"/>
    </w:rPr>
  </w:style>
  <w:style w:type="paragraph" w:styleId="Title">
    <w:name w:val="Title"/>
    <w:next w:val="Normal"/>
    <w:link w:val="TitleChar"/>
    <w:uiPriority w:val="1"/>
    <w:qFormat/>
    <w:rsid w:val="00953372"/>
    <w:pPr>
      <w:contextualSpacing/>
    </w:pPr>
    <w:rPr>
      <w:rFonts w:asciiTheme="majorHAnsi" w:eastAsiaTheme="majorEastAsia" w:hAnsiTheme="majorHAnsi" w:cstheme="majorBidi"/>
      <w:b/>
      <w:caps/>
      <w:color w:val="FFFFFF" w:themeColor="background1"/>
      <w:spacing w:val="-10"/>
      <w:kern w:val="28"/>
      <w:sz w:val="40"/>
      <w:szCs w:val="56"/>
    </w:rPr>
  </w:style>
  <w:style w:type="character" w:customStyle="1" w:styleId="TitleChar">
    <w:name w:val="Title Char"/>
    <w:basedOn w:val="DefaultParagraphFont"/>
    <w:link w:val="Title"/>
    <w:uiPriority w:val="1"/>
    <w:rsid w:val="00953372"/>
    <w:rPr>
      <w:rFonts w:asciiTheme="majorHAnsi" w:eastAsiaTheme="majorEastAsia" w:hAnsiTheme="majorHAnsi" w:cstheme="majorBidi"/>
      <w:b/>
      <w:caps/>
      <w:color w:val="FFFFFF" w:themeColor="background1"/>
      <w:spacing w:val="-10"/>
      <w:kern w:val="28"/>
      <w:sz w:val="40"/>
      <w:szCs w:val="56"/>
    </w:rPr>
  </w:style>
  <w:style w:type="paragraph" w:styleId="Subtitle">
    <w:name w:val="Subtitle"/>
    <w:next w:val="Normal"/>
    <w:link w:val="SubtitleChar"/>
    <w:uiPriority w:val="2"/>
    <w:qFormat/>
    <w:rsid w:val="00407C3F"/>
    <w:pPr>
      <w:numPr>
        <w:ilvl w:val="1"/>
      </w:numPr>
      <w:spacing w:after="160"/>
    </w:pPr>
    <w:rPr>
      <w:rFonts w:ascii="Arial" w:eastAsiaTheme="minorEastAsia" w:hAnsi="Arial"/>
      <w:b/>
      <w:i/>
      <w:color w:val="FFFFFF" w:themeColor="background1"/>
      <w:spacing w:val="15"/>
      <w:sz w:val="28"/>
    </w:rPr>
  </w:style>
  <w:style w:type="character" w:customStyle="1" w:styleId="SubtitleChar">
    <w:name w:val="Subtitle Char"/>
    <w:basedOn w:val="DefaultParagraphFont"/>
    <w:link w:val="Subtitle"/>
    <w:uiPriority w:val="2"/>
    <w:rsid w:val="00407C3F"/>
    <w:rPr>
      <w:rFonts w:ascii="Arial" w:eastAsiaTheme="minorEastAsia" w:hAnsi="Arial"/>
      <w:b/>
      <w:i/>
      <w:color w:val="FFFFFF" w:themeColor="background1"/>
      <w:spacing w:val="15"/>
      <w:sz w:val="28"/>
    </w:rPr>
  </w:style>
  <w:style w:type="paragraph" w:styleId="IntenseQuote">
    <w:name w:val="Intense Quote"/>
    <w:next w:val="Normal"/>
    <w:link w:val="IntenseQuoteChar"/>
    <w:uiPriority w:val="5"/>
    <w:qFormat/>
    <w:rsid w:val="00407C3F"/>
    <w:pPr>
      <w:pBdr>
        <w:top w:val="single" w:sz="4" w:space="10" w:color="012169" w:themeColor="accent1"/>
        <w:bottom w:val="single" w:sz="4" w:space="10" w:color="012169" w:themeColor="accent1"/>
      </w:pBdr>
      <w:spacing w:before="360" w:after="360"/>
      <w:ind w:left="864" w:right="864"/>
      <w:jc w:val="center"/>
    </w:pPr>
    <w:rPr>
      <w:rFonts w:asciiTheme="majorHAnsi" w:hAnsiTheme="majorHAnsi"/>
      <w:b/>
      <w:iCs/>
      <w:color w:val="008C95" w:themeColor="accent2"/>
      <w:sz w:val="28"/>
    </w:rPr>
  </w:style>
  <w:style w:type="character" w:customStyle="1" w:styleId="IntenseQuoteChar">
    <w:name w:val="Intense Quote Char"/>
    <w:basedOn w:val="DefaultParagraphFont"/>
    <w:link w:val="IntenseQuote"/>
    <w:uiPriority w:val="5"/>
    <w:rsid w:val="00407C3F"/>
    <w:rPr>
      <w:rFonts w:asciiTheme="majorHAnsi" w:hAnsiTheme="majorHAnsi"/>
      <w:b/>
      <w:iCs/>
      <w:color w:val="008C95" w:themeColor="accent2"/>
      <w:sz w:val="28"/>
    </w:rPr>
  </w:style>
  <w:style w:type="paragraph" w:styleId="Quote">
    <w:name w:val="Quote"/>
    <w:basedOn w:val="Normal"/>
    <w:next w:val="Normal"/>
    <w:link w:val="QuoteChar"/>
    <w:uiPriority w:val="29"/>
    <w:rsid w:val="008F51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51F6"/>
    <w:rPr>
      <w:rFonts w:ascii="Open Sans" w:hAnsi="Open Sans"/>
      <w:i/>
      <w:iCs/>
      <w:color w:val="404040" w:themeColor="text1" w:themeTint="BF"/>
      <w:sz w:val="20"/>
    </w:rPr>
  </w:style>
  <w:style w:type="character" w:styleId="IntenseReference">
    <w:name w:val="Intense Reference"/>
    <w:basedOn w:val="DefaultParagraphFont"/>
    <w:uiPriority w:val="32"/>
    <w:rsid w:val="008F51F6"/>
    <w:rPr>
      <w:b/>
      <w:bCs/>
      <w:smallCaps/>
      <w:color w:val="012169" w:themeColor="accent1"/>
      <w:spacing w:val="5"/>
    </w:rPr>
  </w:style>
  <w:style w:type="paragraph" w:customStyle="1" w:styleId="BulletList">
    <w:name w:val="Bullet List"/>
    <w:uiPriority w:val="6"/>
    <w:qFormat/>
    <w:rsid w:val="005A1A27"/>
    <w:pPr>
      <w:numPr>
        <w:numId w:val="9"/>
      </w:numPr>
    </w:pPr>
    <w:rPr>
      <w:rFonts w:ascii="Arial" w:hAnsi="Arial"/>
      <w:color w:val="3D3D3D" w:themeColor="text2"/>
      <w:sz w:val="20"/>
    </w:rPr>
  </w:style>
  <w:style w:type="paragraph" w:customStyle="1" w:styleId="NumberedList">
    <w:name w:val="Numbered List"/>
    <w:next w:val="Normal"/>
    <w:uiPriority w:val="7"/>
    <w:qFormat/>
    <w:rsid w:val="005A1A27"/>
    <w:pPr>
      <w:numPr>
        <w:numId w:val="2"/>
      </w:numPr>
    </w:pPr>
    <w:rPr>
      <w:rFonts w:ascii="Arial" w:hAnsi="Arial"/>
      <w:color w:val="3D3D3D" w:themeColor="text2"/>
      <w:sz w:val="20"/>
    </w:rPr>
  </w:style>
  <w:style w:type="paragraph" w:styleId="Header">
    <w:name w:val="header"/>
    <w:basedOn w:val="Normal"/>
    <w:link w:val="HeaderChar"/>
    <w:uiPriority w:val="99"/>
    <w:unhideWhenUsed/>
    <w:rsid w:val="00821D53"/>
    <w:pPr>
      <w:tabs>
        <w:tab w:val="center" w:pos="4680"/>
        <w:tab w:val="right" w:pos="9360"/>
      </w:tabs>
    </w:pPr>
  </w:style>
  <w:style w:type="character" w:customStyle="1" w:styleId="HeaderChar">
    <w:name w:val="Header Char"/>
    <w:basedOn w:val="DefaultParagraphFont"/>
    <w:link w:val="Header"/>
    <w:uiPriority w:val="99"/>
    <w:rsid w:val="00821D53"/>
    <w:rPr>
      <w:rFonts w:ascii="Open Sans" w:hAnsi="Open Sans"/>
      <w:color w:val="3D3D3D" w:themeColor="text2"/>
      <w:sz w:val="20"/>
    </w:rPr>
  </w:style>
  <w:style w:type="paragraph" w:styleId="Footer">
    <w:name w:val="footer"/>
    <w:basedOn w:val="Normal"/>
    <w:link w:val="FooterChar"/>
    <w:uiPriority w:val="99"/>
    <w:unhideWhenUsed/>
    <w:rsid w:val="00821D53"/>
    <w:pPr>
      <w:tabs>
        <w:tab w:val="center" w:pos="4680"/>
        <w:tab w:val="right" w:pos="9360"/>
      </w:tabs>
    </w:pPr>
  </w:style>
  <w:style w:type="character" w:customStyle="1" w:styleId="FooterChar">
    <w:name w:val="Footer Char"/>
    <w:basedOn w:val="DefaultParagraphFont"/>
    <w:link w:val="Footer"/>
    <w:uiPriority w:val="99"/>
    <w:rsid w:val="00821D53"/>
    <w:rPr>
      <w:rFonts w:ascii="Open Sans" w:hAnsi="Open Sans"/>
      <w:color w:val="3D3D3D" w:themeColor="text2"/>
      <w:sz w:val="20"/>
    </w:rPr>
  </w:style>
  <w:style w:type="paragraph" w:styleId="ListParagraph">
    <w:name w:val="List Paragraph"/>
    <w:basedOn w:val="Normal"/>
    <w:uiPriority w:val="34"/>
    <w:qFormat/>
    <w:rsid w:val="00D77DAE"/>
    <w:pPr>
      <w:ind w:left="720"/>
      <w:contextualSpacing/>
    </w:pPr>
  </w:style>
  <w:style w:type="character" w:styleId="Hyperlink">
    <w:name w:val="Hyperlink"/>
    <w:basedOn w:val="DefaultParagraphFont"/>
    <w:uiPriority w:val="99"/>
    <w:unhideWhenUsed/>
    <w:rsid w:val="00D77DAE"/>
    <w:rPr>
      <w:color w:val="828282" w:themeColor="hyperlink"/>
      <w:u w:val="single"/>
    </w:rPr>
  </w:style>
  <w:style w:type="character" w:styleId="UnresolvedMention">
    <w:name w:val="Unresolved Mention"/>
    <w:basedOn w:val="DefaultParagraphFont"/>
    <w:uiPriority w:val="99"/>
    <w:semiHidden/>
    <w:unhideWhenUsed/>
    <w:rsid w:val="00D77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75535">
      <w:bodyDiv w:val="1"/>
      <w:marLeft w:val="0"/>
      <w:marRight w:val="0"/>
      <w:marTop w:val="0"/>
      <w:marBottom w:val="0"/>
      <w:divBdr>
        <w:top w:val="none" w:sz="0" w:space="0" w:color="auto"/>
        <w:left w:val="none" w:sz="0" w:space="0" w:color="auto"/>
        <w:bottom w:val="none" w:sz="0" w:space="0" w:color="auto"/>
        <w:right w:val="none" w:sz="0" w:space="0" w:color="auto"/>
      </w:divBdr>
      <w:divsChild>
        <w:div w:id="1577474117">
          <w:marLeft w:val="1267"/>
          <w:marRight w:val="0"/>
          <w:marTop w:val="0"/>
          <w:marBottom w:val="0"/>
          <w:divBdr>
            <w:top w:val="none" w:sz="0" w:space="0" w:color="auto"/>
            <w:left w:val="none" w:sz="0" w:space="0" w:color="auto"/>
            <w:bottom w:val="none" w:sz="0" w:space="0" w:color="auto"/>
            <w:right w:val="none" w:sz="0" w:space="0" w:color="auto"/>
          </w:divBdr>
        </w:div>
        <w:div w:id="359598668">
          <w:marLeft w:val="1267"/>
          <w:marRight w:val="0"/>
          <w:marTop w:val="0"/>
          <w:marBottom w:val="0"/>
          <w:divBdr>
            <w:top w:val="none" w:sz="0" w:space="0" w:color="auto"/>
            <w:left w:val="none" w:sz="0" w:space="0" w:color="auto"/>
            <w:bottom w:val="none" w:sz="0" w:space="0" w:color="auto"/>
            <w:right w:val="none" w:sz="0" w:space="0" w:color="auto"/>
          </w:divBdr>
        </w:div>
        <w:div w:id="1238516870">
          <w:marLeft w:val="116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chp.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public-health-gateway/php/abou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ventioninstitut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c.gov/obesity/childhood/defining.html" TargetMode="External"/><Relationship Id="rId4" Type="http://schemas.openxmlformats.org/officeDocument/2006/relationships/webSettings" Target="webSettings.xml"/><Relationship Id="rId9" Type="http://schemas.openxmlformats.org/officeDocument/2006/relationships/hyperlink" Target="https://amchp.org/innovation-hub-ih-prac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HSS Colors - Word">
      <a:dk1>
        <a:sysClr val="windowText" lastClr="000000"/>
      </a:dk1>
      <a:lt1>
        <a:sysClr val="window" lastClr="FFFFFF"/>
      </a:lt1>
      <a:dk2>
        <a:srgbClr val="3D3D3D"/>
      </a:dk2>
      <a:lt2>
        <a:srgbClr val="EBEBEB"/>
      </a:lt2>
      <a:accent1>
        <a:srgbClr val="012169"/>
      </a:accent1>
      <a:accent2>
        <a:srgbClr val="008C95"/>
      </a:accent2>
      <a:accent3>
        <a:srgbClr val="E35205"/>
      </a:accent3>
      <a:accent4>
        <a:srgbClr val="F2A900"/>
      </a:accent4>
      <a:accent5>
        <a:srgbClr val="F2A900"/>
      </a:accent5>
      <a:accent6>
        <a:srgbClr val="F2A900"/>
      </a:accent6>
      <a:hlink>
        <a:srgbClr val="828282"/>
      </a:hlink>
      <a:folHlink>
        <a:srgbClr val="A5A5A5"/>
      </a:folHlink>
    </a:clrScheme>
    <a:fontScheme name="DHSS Arial Font">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Sami Jo</dc:creator>
  <cp:keywords/>
  <dc:description/>
  <cp:lastModifiedBy>Gorman, Sara</cp:lastModifiedBy>
  <cp:revision>4</cp:revision>
  <dcterms:created xsi:type="dcterms:W3CDTF">2025-03-14T01:16:00Z</dcterms:created>
  <dcterms:modified xsi:type="dcterms:W3CDTF">2025-06-25T18:15:00Z</dcterms:modified>
</cp:coreProperties>
</file>