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C01D" w14:textId="236D8F00" w:rsidR="00571F5B" w:rsidRPr="00FE5EC5" w:rsidRDefault="00571F5B" w:rsidP="00CC02B4">
      <w:pPr>
        <w:pStyle w:val="ListParagraph"/>
        <w:numPr>
          <w:ilvl w:val="0"/>
          <w:numId w:val="4"/>
        </w:numPr>
        <w:spacing w:after="0" w:line="240" w:lineRule="auto"/>
      </w:pPr>
      <w:r w:rsidRPr="00FE5EC5">
        <w:rPr>
          <w:rFonts w:ascii="Aptos" w:eastAsia="Aptos" w:hAnsi="Aptos" w:cs="Aptos"/>
        </w:rPr>
        <w:t>For</w:t>
      </w:r>
      <w:r w:rsidRPr="00FE5EC5">
        <w:t xml:space="preserve"> purposes of vaccine administration based upon shared clinical decision making, CDC </w:t>
      </w:r>
      <w:hyperlink r:id="rId7" w:history="1">
        <w:r w:rsidRPr="00FE5EC5">
          <w:rPr>
            <w:rStyle w:val="Hyperlink"/>
          </w:rPr>
          <w:t>guidance</w:t>
        </w:r>
      </w:hyperlink>
      <w:r w:rsidRPr="00FE5EC5">
        <w:t xml:space="preserve"> defines a health care provider as anyone who provides or administers vaccines: primary care physicians, specialists, physician assistants, nurse practitioners, registered nurses, and pharmacists. States, including Missouri, should understand this guidance in the context of scope of practice laws. For example, while a registered nurse may participate in shared clinical decision-making when it comes to certain vaccines, the Missouri scope of practice requires nurses to administer from a prescription, order, or standing protocol order from an authorized prescriber. </w:t>
      </w:r>
      <w:r w:rsidR="00CC02B4" w:rsidRPr="00FE5EC5">
        <w:t xml:space="preserve"> Review </w:t>
      </w:r>
      <w:hyperlink r:id="rId8" w:history="1">
        <w:r w:rsidR="00CC02B4" w:rsidRPr="00FE5EC5">
          <w:rPr>
            <w:rStyle w:val="Hyperlink"/>
          </w:rPr>
          <w:t>https://pr.mo.gov/nursing-rules-statutes.asp</w:t>
        </w:r>
      </w:hyperlink>
      <w:r w:rsidR="00CC02B4" w:rsidRPr="00FE5EC5">
        <w:t xml:space="preserve"> for additional information.  </w:t>
      </w:r>
    </w:p>
    <w:p w14:paraId="215EC7F9" w14:textId="77777777" w:rsidR="00571F5B" w:rsidRPr="00FE5EC5" w:rsidRDefault="00571F5B" w:rsidP="00571F5B">
      <w:pPr>
        <w:spacing w:after="0" w:line="240" w:lineRule="auto"/>
      </w:pPr>
    </w:p>
    <w:p w14:paraId="4F259C3E" w14:textId="77777777" w:rsidR="00307067" w:rsidRPr="00FE5EC5" w:rsidRDefault="00307067" w:rsidP="00CC02B4">
      <w:pPr>
        <w:pStyle w:val="ListParagraph"/>
        <w:numPr>
          <w:ilvl w:val="0"/>
          <w:numId w:val="4"/>
        </w:numPr>
        <w:spacing w:after="0" w:line="240" w:lineRule="auto"/>
      </w:pPr>
      <w:r w:rsidRPr="00FE5EC5">
        <w:rPr>
          <w:rFonts w:ascii="Aptos" w:eastAsia="Aptos" w:hAnsi="Aptos" w:cs="Aptos"/>
        </w:rPr>
        <w:t>For</w:t>
      </w:r>
      <w:r w:rsidRPr="00FE5EC5">
        <w:t xml:space="preserve"> an LPHA to administer any vaccines, including COVID-19, they must meet one or more of the following requirements.</w:t>
      </w:r>
    </w:p>
    <w:p w14:paraId="70E7CB6A" w14:textId="77777777" w:rsidR="00307067" w:rsidRPr="00FE5EC5" w:rsidRDefault="00307067" w:rsidP="00307067">
      <w:pPr>
        <w:pStyle w:val="ListParagraph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00FE5EC5">
        <w:rPr>
          <w:rFonts w:ascii="Aptos" w:eastAsia="Aptos" w:hAnsi="Aptos" w:cs="Aptos"/>
        </w:rPr>
        <w:t>Standing Order for vaccination</w:t>
      </w:r>
    </w:p>
    <w:p w14:paraId="077399FF" w14:textId="77777777" w:rsidR="00307067" w:rsidRPr="00FE5EC5" w:rsidRDefault="00307067" w:rsidP="00307067">
      <w:pPr>
        <w:pStyle w:val="ListParagraph"/>
        <w:numPr>
          <w:ilvl w:val="1"/>
          <w:numId w:val="2"/>
        </w:numPr>
        <w:spacing w:after="0" w:line="240" w:lineRule="auto"/>
        <w:rPr>
          <w:rFonts w:ascii="Aptos" w:eastAsia="Aptos" w:hAnsi="Aptos" w:cs="Aptos"/>
        </w:rPr>
      </w:pPr>
      <w:r w:rsidRPr="00FE5EC5">
        <w:rPr>
          <w:rFonts w:ascii="Aptos" w:eastAsia="Aptos" w:hAnsi="Aptos" w:cs="Aptos"/>
        </w:rPr>
        <w:t xml:space="preserve">Prescription from a physician </w:t>
      </w:r>
    </w:p>
    <w:p w14:paraId="64774808" w14:textId="1B4A49C5" w:rsidR="00307067" w:rsidRPr="00FE5EC5" w:rsidRDefault="00307067" w:rsidP="00CC02B4">
      <w:pPr>
        <w:pStyle w:val="ListParagraph"/>
        <w:numPr>
          <w:ilvl w:val="1"/>
          <w:numId w:val="2"/>
        </w:numPr>
        <w:spacing w:after="0" w:line="240" w:lineRule="auto"/>
      </w:pPr>
      <w:r w:rsidRPr="00FE5EC5">
        <w:rPr>
          <w:rFonts w:ascii="Aptos" w:eastAsia="Aptos" w:hAnsi="Aptos" w:cs="Aptos"/>
        </w:rPr>
        <w:t>Collaborative Practice Agreement that includes standing orders for vaccination</w:t>
      </w:r>
      <w:r w:rsidR="00CC02B4" w:rsidRPr="00FE5EC5">
        <w:rPr>
          <w:rFonts w:ascii="Aptos" w:eastAsia="Aptos" w:hAnsi="Aptos" w:cs="Aptos"/>
        </w:rPr>
        <w:t xml:space="preserve">.  </w:t>
      </w:r>
      <w:r w:rsidRPr="00FE5EC5">
        <w:rPr>
          <w:rFonts w:ascii="Aptos" w:eastAsia="Aptos" w:hAnsi="Aptos" w:cs="Aptos"/>
        </w:rPr>
        <w:t xml:space="preserve">A Collaborative Practice Agreement is between the physician and Registered Nurses.  For more information, visit </w:t>
      </w:r>
      <w:hyperlink r:id="rId9">
        <w:r w:rsidRPr="00FE5EC5">
          <w:rPr>
            <w:rStyle w:val="Hyperlink"/>
            <w:rFonts w:ascii="Aptos" w:eastAsia="Aptos" w:hAnsi="Aptos" w:cs="Aptos"/>
          </w:rPr>
          <w:t>https://pr.mo.gov/nursing-focus-registered-collaborative.asp</w:t>
        </w:r>
      </w:hyperlink>
      <w:r w:rsidR="00CC02B4" w:rsidRPr="00FE5EC5">
        <w:rPr>
          <w:sz w:val="28"/>
          <w:szCs w:val="28"/>
        </w:rPr>
        <w:t xml:space="preserve"> and </w:t>
      </w:r>
      <w:hyperlink r:id="rId10" w:history="1">
        <w:r w:rsidR="00CC02B4" w:rsidRPr="00FE5EC5">
          <w:rPr>
            <w:rStyle w:val="Hyperlink"/>
          </w:rPr>
          <w:t>https://revisor.mo.gov/main/OneSection.aspx?section=334.104</w:t>
        </w:r>
      </w:hyperlink>
    </w:p>
    <w:p w14:paraId="4F134F6B" w14:textId="77777777" w:rsidR="00307067" w:rsidRPr="00FE5EC5" w:rsidRDefault="00307067" w:rsidP="00307067">
      <w:pPr>
        <w:spacing w:after="0" w:line="240" w:lineRule="auto"/>
        <w:ind w:left="360" w:hanging="360"/>
      </w:pPr>
    </w:p>
    <w:p w14:paraId="32DAA705" w14:textId="274D8A84" w:rsidR="00307067" w:rsidRPr="00FE5EC5" w:rsidRDefault="00307067" w:rsidP="00CC02B4">
      <w:pPr>
        <w:pStyle w:val="ListParagraph"/>
        <w:numPr>
          <w:ilvl w:val="0"/>
          <w:numId w:val="4"/>
        </w:numPr>
        <w:spacing w:after="0" w:line="240" w:lineRule="auto"/>
      </w:pPr>
      <w:r w:rsidRPr="00FE5EC5">
        <w:t>For the most up-to-date guidance on administering the COVID-19 vaccine, visit the links below.</w:t>
      </w:r>
    </w:p>
    <w:p w14:paraId="09463AEB" w14:textId="265EED3E" w:rsidR="00307067" w:rsidRPr="00FE5EC5" w:rsidRDefault="00307067" w:rsidP="00CC02B4">
      <w:pPr>
        <w:pStyle w:val="ListParagraph"/>
        <w:numPr>
          <w:ilvl w:val="0"/>
          <w:numId w:val="3"/>
        </w:numPr>
        <w:spacing w:after="0" w:line="240" w:lineRule="auto"/>
      </w:pPr>
      <w:r w:rsidRPr="00FE5EC5">
        <w:t xml:space="preserve">ACIP Child and Adult Schedules:  </w:t>
      </w:r>
      <w:hyperlink r:id="rId11" w:history="1">
        <w:r w:rsidRPr="00FE5EC5">
          <w:rPr>
            <w:rStyle w:val="Hyperlink"/>
          </w:rPr>
          <w:t>Immunization Schedules | Vaccines &amp; Immunizations | CDC</w:t>
        </w:r>
      </w:hyperlink>
    </w:p>
    <w:p w14:paraId="664F0383" w14:textId="759E4308" w:rsidR="00307067" w:rsidRPr="00FE5EC5" w:rsidRDefault="00307067" w:rsidP="00CC02B4">
      <w:pPr>
        <w:pStyle w:val="ListParagraph"/>
        <w:numPr>
          <w:ilvl w:val="0"/>
          <w:numId w:val="3"/>
        </w:numPr>
        <w:spacing w:after="0" w:line="240" w:lineRule="auto"/>
      </w:pPr>
      <w:r w:rsidRPr="00FE5EC5">
        <w:t>September 19, 2025 HHS Press Release:</w:t>
      </w:r>
      <w:r w:rsidRPr="00FE5EC5">
        <w:rPr>
          <w:sz w:val="28"/>
          <w:szCs w:val="28"/>
        </w:rPr>
        <w:t xml:space="preserve"> </w:t>
      </w:r>
      <w:hyperlink r:id="rId12" w:history="1">
        <w:r w:rsidRPr="00FE5EC5">
          <w:rPr>
            <w:rStyle w:val="Hyperlink"/>
          </w:rPr>
          <w:t>https://www.hhs.gov/press-room/acip-recommends-covid19-vaccination-individual-decision-making.html</w:t>
        </w:r>
      </w:hyperlink>
    </w:p>
    <w:p w14:paraId="7834EB94" w14:textId="6D254FDB" w:rsidR="00B05B7E" w:rsidRPr="00FE5EC5" w:rsidRDefault="00B05B7E" w:rsidP="00FE5EC5">
      <w:pPr>
        <w:spacing w:after="0" w:line="240" w:lineRule="auto"/>
        <w:ind w:left="360" w:hanging="360"/>
      </w:pPr>
    </w:p>
    <w:p w14:paraId="23D8FDA5" w14:textId="21974972" w:rsidR="00307067" w:rsidRPr="00FE5EC5" w:rsidRDefault="00CC02B4" w:rsidP="00CC02B4">
      <w:pPr>
        <w:pStyle w:val="ListParagraph"/>
        <w:numPr>
          <w:ilvl w:val="0"/>
          <w:numId w:val="4"/>
        </w:numPr>
        <w:spacing w:after="0" w:line="240" w:lineRule="auto"/>
      </w:pPr>
      <w:r w:rsidRPr="00FE5EC5">
        <w:t xml:space="preserve">For questions related to </w:t>
      </w:r>
      <w:r w:rsidR="00571F5B" w:rsidRPr="00FE5EC5">
        <w:t>documenting shared clinical decision-making, there is no specific requirement to document shared clinical decision</w:t>
      </w:r>
      <w:r w:rsidRPr="00FE5EC5">
        <w:t>-making</w:t>
      </w:r>
      <w:r w:rsidR="00571F5B" w:rsidRPr="00FE5EC5">
        <w:t xml:space="preserve"> related to vaccination. Vaccination is an informed consent process, and LPHA</w:t>
      </w:r>
      <w:r w:rsidRPr="00FE5EC5">
        <w:t>s</w:t>
      </w:r>
      <w:r w:rsidR="00571F5B" w:rsidRPr="00FE5EC5">
        <w:t xml:space="preserve"> should consult </w:t>
      </w:r>
      <w:r w:rsidRPr="00FE5EC5">
        <w:t xml:space="preserve">with </w:t>
      </w:r>
      <w:r w:rsidR="00571F5B" w:rsidRPr="00FE5EC5">
        <w:t xml:space="preserve">their Medical Directors and </w:t>
      </w:r>
      <w:r w:rsidRPr="00FE5EC5">
        <w:t xml:space="preserve">have </w:t>
      </w:r>
      <w:r w:rsidR="00571F5B" w:rsidRPr="00FE5EC5">
        <w:t>approved policies and procedures on vaccine administration and documentation</w:t>
      </w:r>
      <w:r w:rsidRPr="00FE5EC5">
        <w:t xml:space="preserve"> in place</w:t>
      </w:r>
      <w:r w:rsidR="00571F5B" w:rsidRPr="00FE5EC5">
        <w:t>.</w:t>
      </w:r>
    </w:p>
    <w:p w14:paraId="7F40050C" w14:textId="77777777" w:rsidR="00307067" w:rsidRDefault="00307067"/>
    <w:sectPr w:rsidR="0030706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75331" w14:textId="77777777" w:rsidR="00FE5EC5" w:rsidRDefault="00FE5EC5" w:rsidP="00FE5EC5">
      <w:pPr>
        <w:spacing w:after="0" w:line="240" w:lineRule="auto"/>
      </w:pPr>
      <w:r>
        <w:separator/>
      </w:r>
    </w:p>
  </w:endnote>
  <w:endnote w:type="continuationSeparator" w:id="0">
    <w:p w14:paraId="00741BA3" w14:textId="77777777" w:rsidR="00FE5EC5" w:rsidRDefault="00FE5EC5" w:rsidP="00F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7D2AB" w14:textId="77777777" w:rsidR="00FE5EC5" w:rsidRDefault="00FE5EC5" w:rsidP="00FE5EC5">
      <w:pPr>
        <w:spacing w:after="0" w:line="240" w:lineRule="auto"/>
      </w:pPr>
      <w:r>
        <w:separator/>
      </w:r>
    </w:p>
  </w:footnote>
  <w:footnote w:type="continuationSeparator" w:id="0">
    <w:p w14:paraId="12438EB5" w14:textId="77777777" w:rsidR="00FE5EC5" w:rsidRDefault="00FE5EC5" w:rsidP="00F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827F" w14:textId="77777777" w:rsidR="00FE5EC5" w:rsidRPr="00FE5EC5" w:rsidRDefault="00FE5EC5" w:rsidP="00FE5EC5">
    <w:pPr>
      <w:pStyle w:val="Header"/>
      <w:jc w:val="center"/>
      <w:rPr>
        <w:b/>
        <w:bCs/>
        <w:sz w:val="40"/>
        <w:szCs w:val="40"/>
      </w:rPr>
    </w:pPr>
    <w:r w:rsidRPr="00FE5EC5">
      <w:rPr>
        <w:b/>
        <w:bCs/>
        <w:sz w:val="40"/>
        <w:szCs w:val="40"/>
      </w:rPr>
      <w:t xml:space="preserve">Shared Clinical </w:t>
    </w:r>
    <w:r w:rsidRPr="00FE5EC5">
      <w:rPr>
        <w:b/>
        <w:bCs/>
        <w:sz w:val="40"/>
        <w:szCs w:val="40"/>
      </w:rPr>
      <w:t>Decision-Making</w:t>
    </w:r>
    <w:r w:rsidRPr="00FE5EC5">
      <w:rPr>
        <w:b/>
        <w:bCs/>
        <w:sz w:val="40"/>
        <w:szCs w:val="40"/>
      </w:rPr>
      <w:t xml:space="preserve"> Guidance</w:t>
    </w:r>
  </w:p>
  <w:p w14:paraId="6E98B817" w14:textId="0206D8F3" w:rsidR="00FE5EC5" w:rsidRPr="00FE5EC5" w:rsidRDefault="00FE5EC5" w:rsidP="00FE5EC5">
    <w:pPr>
      <w:pStyle w:val="Header"/>
      <w:jc w:val="center"/>
      <w:rPr>
        <w:b/>
        <w:bCs/>
        <w:sz w:val="40"/>
        <w:szCs w:val="40"/>
      </w:rPr>
    </w:pPr>
    <w:r w:rsidRPr="00FE5EC5">
      <w:rPr>
        <w:b/>
        <w:bCs/>
        <w:sz w:val="40"/>
        <w:szCs w:val="40"/>
      </w:rPr>
      <w:t xml:space="preserve">for </w:t>
    </w:r>
    <w:r w:rsidRPr="00FE5EC5">
      <w:rPr>
        <w:b/>
        <w:bCs/>
        <w:sz w:val="40"/>
        <w:szCs w:val="40"/>
      </w:rPr>
      <w:t>Local Public Health Agency (</w:t>
    </w:r>
    <w:r w:rsidRPr="00FE5EC5">
      <w:rPr>
        <w:b/>
        <w:bCs/>
        <w:sz w:val="40"/>
        <w:szCs w:val="40"/>
      </w:rPr>
      <w:t>LPHA</w:t>
    </w:r>
    <w:r w:rsidRPr="00FE5EC5">
      <w:rPr>
        <w:b/>
        <w:bCs/>
        <w:sz w:val="40"/>
        <w:szCs w:val="40"/>
      </w:rPr>
      <w:t>)</w:t>
    </w:r>
  </w:p>
  <w:p w14:paraId="2491B050" w14:textId="77777777" w:rsidR="00FE5EC5" w:rsidRDefault="00FE5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0C0B1"/>
    <w:multiLevelType w:val="hybridMultilevel"/>
    <w:tmpl w:val="D9369950"/>
    <w:lvl w:ilvl="0" w:tplc="C5281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2C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A6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8C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40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B2F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09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3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4B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67515"/>
    <w:multiLevelType w:val="hybridMultilevel"/>
    <w:tmpl w:val="FFFFFFFF"/>
    <w:lvl w:ilvl="0" w:tplc="AE660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CCA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68F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63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C52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F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ED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8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869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95ABC"/>
    <w:multiLevelType w:val="hybridMultilevel"/>
    <w:tmpl w:val="F26EEA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6E08B0"/>
    <w:multiLevelType w:val="hybridMultilevel"/>
    <w:tmpl w:val="EFA0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352683">
    <w:abstractNumId w:val="1"/>
  </w:num>
  <w:num w:numId="2" w16cid:durableId="641278926">
    <w:abstractNumId w:val="0"/>
  </w:num>
  <w:num w:numId="3" w16cid:durableId="1784573198">
    <w:abstractNumId w:val="2"/>
  </w:num>
  <w:num w:numId="4" w16cid:durableId="203091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67"/>
    <w:rsid w:val="00171BA7"/>
    <w:rsid w:val="002D5A95"/>
    <w:rsid w:val="00307067"/>
    <w:rsid w:val="004B318A"/>
    <w:rsid w:val="00571F5B"/>
    <w:rsid w:val="00B05B7E"/>
    <w:rsid w:val="00CC02B4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3A336"/>
  <w15:chartTrackingRefBased/>
  <w15:docId w15:val="{4712758A-194A-461C-88A4-BF8D38D0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067"/>
  </w:style>
  <w:style w:type="paragraph" w:styleId="Heading1">
    <w:name w:val="heading 1"/>
    <w:basedOn w:val="Normal"/>
    <w:next w:val="Normal"/>
    <w:link w:val="Heading1Char"/>
    <w:uiPriority w:val="9"/>
    <w:qFormat/>
    <w:rsid w:val="00307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0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7067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F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02B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EC5"/>
  </w:style>
  <w:style w:type="paragraph" w:styleId="Footer">
    <w:name w:val="footer"/>
    <w:basedOn w:val="Normal"/>
    <w:link w:val="FooterChar"/>
    <w:uiPriority w:val="99"/>
    <w:unhideWhenUsed/>
    <w:rsid w:val="00FE5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mo.gov/nursing-rules-statutes.asp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acip/vaccine-recommendations/shared-clinical-decision-making.html" TargetMode="External"/><Relationship Id="rId12" Type="http://schemas.openxmlformats.org/officeDocument/2006/relationships/hyperlink" Target="https://www.hhs.gov/press-room/acip-recommends-covid19-vaccination-individual-decision-makin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vaccines/hcp/imz-schedule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evisor.mo.gov/main/OneSection.aspx?section=334.1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.mo.gov/nursing-focus-registered-collaborative.a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2193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Paro, Lynelle</dc:creator>
  <cp:keywords/>
  <dc:description/>
  <cp:lastModifiedBy>Paro, Lynelle</cp:lastModifiedBy>
  <cp:revision>2</cp:revision>
  <dcterms:created xsi:type="dcterms:W3CDTF">2025-11-10T15:32:00Z</dcterms:created>
  <dcterms:modified xsi:type="dcterms:W3CDTF">2025-11-10T15:32:00Z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3f1126fe-2bbd-4936-a9d4-d162e76b730d</vt:lpwstr>
  </property>
</Properties>
</file>